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B80EFF">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附件3</w:t>
      </w:r>
    </w:p>
    <w:p w14:paraId="75109B38">
      <w:pPr>
        <w:jc w:val="center"/>
        <w:rPr>
          <w:rFonts w:ascii="方正小标宋简体" w:hAnsi="方正小标宋简体" w:eastAsia="方正小标宋简体" w:cs="方正小标宋简体"/>
          <w:sz w:val="36"/>
          <w:szCs w:val="36"/>
        </w:rPr>
      </w:pPr>
    </w:p>
    <w:p w14:paraId="449B8BE8">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陕西省知识产权信息公共服务对接系统运行</w:t>
      </w:r>
      <w:r>
        <w:rPr>
          <w:rFonts w:hint="default" w:ascii="方正小标宋简体" w:hAnsi="方正小标宋简体" w:eastAsia="方正小标宋简体" w:cs="方正小标宋简体"/>
          <w:sz w:val="36"/>
          <w:szCs w:val="36"/>
        </w:rPr>
        <w:t>指南</w:t>
      </w:r>
    </w:p>
    <w:p w14:paraId="52434E6D">
      <w:pPr>
        <w:ind w:firstLine="760" w:firstLineChars="200"/>
        <w:rPr>
          <w:rStyle w:val="13"/>
          <w:rFonts w:ascii="黑体" w:hAnsi="黑体" w:eastAsia="黑体" w:cs="黑体"/>
          <w:b w:val="0"/>
          <w:color w:val="000000" w:themeColor="text1"/>
          <w:spacing w:val="30"/>
          <w:sz w:val="32"/>
          <w:szCs w:val="32"/>
          <w:shd w:val="clear" w:color="auto" w:fill="FFFFFF"/>
          <w14:textFill>
            <w14:solidFill>
              <w14:schemeClr w14:val="tx1"/>
            </w14:solidFill>
          </w14:textFill>
        </w:rPr>
      </w:pPr>
    </w:p>
    <w:p w14:paraId="1450ADF2">
      <w:pPr>
        <w:ind w:firstLine="760" w:firstLineChars="200"/>
        <w:rPr>
          <w:rStyle w:val="13"/>
          <w:rFonts w:ascii="黑体" w:hAnsi="黑体" w:eastAsia="黑体" w:cs="黑体"/>
          <w:b w:val="0"/>
          <w:color w:val="000000" w:themeColor="text1"/>
          <w:spacing w:val="30"/>
          <w:sz w:val="32"/>
          <w:szCs w:val="32"/>
          <w:shd w:val="clear" w:color="auto" w:fill="FFFFFF"/>
          <w14:textFill>
            <w14:solidFill>
              <w14:schemeClr w14:val="tx1"/>
            </w14:solidFill>
          </w14:textFill>
        </w:rPr>
      </w:pPr>
      <w:r>
        <w:rPr>
          <w:rStyle w:val="13"/>
          <w:rFonts w:hint="eastAsia" w:ascii="黑体" w:hAnsi="黑体" w:eastAsia="黑体" w:cs="黑体"/>
          <w:b w:val="0"/>
          <w:color w:val="000000" w:themeColor="text1"/>
          <w:spacing w:val="30"/>
          <w:sz w:val="32"/>
          <w:szCs w:val="32"/>
          <w:shd w:val="clear" w:color="auto" w:fill="FFFFFF"/>
          <w14:textFill>
            <w14:solidFill>
              <w14:schemeClr w14:val="tx1"/>
            </w14:solidFill>
          </w14:textFill>
        </w:rPr>
        <w:t>第一章 总 则</w:t>
      </w:r>
    </w:p>
    <w:p w14:paraId="7FB43EE0">
      <w:pPr>
        <w:ind w:firstLine="763" w:firstLineChars="200"/>
        <w:rPr>
          <w:rFonts w:hint="default" w:ascii="仿宋" w:hAnsi="仿宋" w:eastAsia="仿宋" w:cs="仿宋"/>
          <w:sz w:val="32"/>
          <w:szCs w:val="40"/>
          <w:lang w:val="en-US" w:eastAsia="zh-CN"/>
        </w:rPr>
      </w:pPr>
      <w:r>
        <w:rPr>
          <w:rStyle w:val="13"/>
          <w:rFonts w:hint="eastAsia" w:ascii="仿宋" w:hAnsi="仿宋" w:eastAsia="仿宋" w:cs="仿宋"/>
          <w:bCs/>
          <w:color w:val="000000" w:themeColor="text1"/>
          <w:spacing w:val="30"/>
          <w:sz w:val="32"/>
          <w:szCs w:val="32"/>
          <w:shd w:val="clear" w:color="auto" w:fill="FFFFFF"/>
          <w14:textFill>
            <w14:solidFill>
              <w14:schemeClr w14:val="tx1"/>
            </w14:solidFill>
          </w14:textFill>
        </w:rPr>
        <w:t xml:space="preserve">第一条 </w:t>
      </w:r>
      <w:r>
        <w:rPr>
          <w:rFonts w:hint="eastAsia" w:ascii="仿宋" w:hAnsi="仿宋" w:eastAsia="仿宋" w:cs="仿宋"/>
          <w:sz w:val="32"/>
          <w:szCs w:val="40"/>
        </w:rPr>
        <w:t>为落实国家知识产权局《关于全面提升知识产权公共服务效能的指导意见》和《陕西省知识产权强省建设纲要（2021-2035年）》，强化我省知识产权公共服务体系工作统筹，促进知识产权信息公共服务资源与创新发展需求的有效对接和精准匹配，提升全省知识产权公共服务效能，更好发挥知识产权信息公共服务的支撑作用，省知识产权局建设开发陕西省知识产权信息公共服务对接系统（以下简称“公共服务对接系统”），</w:t>
      </w:r>
      <w:r>
        <w:rPr>
          <w:rFonts w:hint="eastAsia" w:ascii="仿宋" w:hAnsi="仿宋" w:eastAsia="仿宋" w:cs="仿宋"/>
          <w:sz w:val="32"/>
          <w:szCs w:val="40"/>
          <w:lang w:val="en-US" w:eastAsia="zh-CN"/>
        </w:rPr>
        <w:t>为保障公共服务对接系统的顺畅有效运行，特制定本</w:t>
      </w:r>
      <w:r>
        <w:rPr>
          <w:rFonts w:hint="default" w:ascii="仿宋" w:hAnsi="仿宋" w:eastAsia="仿宋" w:cs="仿宋"/>
          <w:sz w:val="32"/>
          <w:szCs w:val="40"/>
          <w:lang w:eastAsia="zh-CN"/>
        </w:rPr>
        <w:t>指南</w:t>
      </w:r>
      <w:r>
        <w:rPr>
          <w:rFonts w:hint="eastAsia" w:ascii="仿宋" w:hAnsi="仿宋" w:eastAsia="仿宋" w:cs="仿宋"/>
          <w:sz w:val="32"/>
          <w:szCs w:val="40"/>
          <w:lang w:val="en-US" w:eastAsia="zh-CN"/>
        </w:rPr>
        <w:t>。</w:t>
      </w:r>
    </w:p>
    <w:p w14:paraId="5744FF0C">
      <w:pPr>
        <w:ind w:firstLine="763" w:firstLineChars="200"/>
        <w:rPr>
          <w:rFonts w:ascii="仿宋" w:hAnsi="仿宋" w:eastAsia="仿宋" w:cs="仿宋"/>
          <w:sz w:val="32"/>
          <w:szCs w:val="40"/>
        </w:rPr>
      </w:pPr>
      <w:r>
        <w:rPr>
          <w:rStyle w:val="13"/>
          <w:rFonts w:hint="eastAsia" w:ascii="仿宋" w:hAnsi="仿宋" w:eastAsia="仿宋" w:cs="仿宋"/>
          <w:bCs/>
          <w:color w:val="000000" w:themeColor="text1"/>
          <w:spacing w:val="30"/>
          <w:sz w:val="32"/>
          <w:szCs w:val="32"/>
          <w:shd w:val="clear" w:color="auto" w:fill="FFFFFF"/>
          <w14:textFill>
            <w14:solidFill>
              <w14:schemeClr w14:val="tx1"/>
            </w14:solidFill>
          </w14:textFill>
        </w:rPr>
        <w:t xml:space="preserve">第二条 </w:t>
      </w:r>
      <w:r>
        <w:rPr>
          <w:rFonts w:hint="eastAsia" w:ascii="仿宋" w:hAnsi="仿宋" w:eastAsia="仿宋" w:cs="仿宋"/>
          <w:sz w:val="32"/>
          <w:szCs w:val="40"/>
        </w:rPr>
        <w:t>公共服务对接系统按照资源普惠可及、供需精准匹配、响应高效专业、服务闭环管理的原则进行开发应用。</w:t>
      </w:r>
    </w:p>
    <w:p w14:paraId="4D825696">
      <w:pPr>
        <w:ind w:firstLine="763" w:firstLineChars="200"/>
        <w:rPr>
          <w:rFonts w:ascii="仿宋" w:hAnsi="仿宋" w:eastAsia="仿宋" w:cs="仿宋"/>
          <w:sz w:val="32"/>
          <w:szCs w:val="40"/>
        </w:rPr>
      </w:pPr>
      <w:r>
        <w:rPr>
          <w:rStyle w:val="13"/>
          <w:rFonts w:hint="eastAsia" w:ascii="仿宋" w:hAnsi="仿宋" w:eastAsia="仿宋" w:cs="仿宋"/>
          <w:bCs/>
          <w:color w:val="000000" w:themeColor="text1"/>
          <w:spacing w:val="30"/>
          <w:sz w:val="32"/>
          <w:szCs w:val="32"/>
          <w:shd w:val="clear" w:color="auto" w:fill="FFFFFF"/>
          <w14:textFill>
            <w14:solidFill>
              <w14:schemeClr w14:val="tx1"/>
            </w14:solidFill>
          </w14:textFill>
        </w:rPr>
        <w:t xml:space="preserve">第三条 </w:t>
      </w:r>
      <w:r>
        <w:rPr>
          <w:rFonts w:hint="eastAsia" w:ascii="仿宋" w:hAnsi="仿宋" w:eastAsia="仿宋" w:cs="仿宋"/>
          <w:sz w:val="32"/>
          <w:szCs w:val="40"/>
        </w:rPr>
        <w:t>公共服务的供给机构（以下简称“服务方”）包含但不限于陕西省内的TISC（技术与创新支持中心）机构、高校国家知识产权信息服务中心、国家知识产权信息公共服务备案网点及省级知识产权信息公共服务网点。</w:t>
      </w:r>
    </w:p>
    <w:p w14:paraId="05213C64">
      <w:pPr>
        <w:ind w:firstLine="763" w:firstLineChars="200"/>
        <w:rPr>
          <w:rFonts w:ascii="仿宋" w:hAnsi="仿宋" w:eastAsia="仿宋" w:cs="仿宋"/>
          <w:sz w:val="32"/>
          <w:szCs w:val="40"/>
        </w:rPr>
      </w:pPr>
      <w:r>
        <w:rPr>
          <w:rStyle w:val="13"/>
          <w:rFonts w:hint="eastAsia" w:ascii="仿宋" w:hAnsi="仿宋" w:eastAsia="仿宋" w:cs="仿宋"/>
          <w:bCs/>
          <w:color w:val="000000" w:themeColor="text1"/>
          <w:spacing w:val="30"/>
          <w:sz w:val="32"/>
          <w:szCs w:val="32"/>
          <w:shd w:val="clear" w:color="auto" w:fill="FFFFFF"/>
          <w14:textFill>
            <w14:solidFill>
              <w14:schemeClr w14:val="tx1"/>
            </w14:solidFill>
          </w14:textFill>
        </w:rPr>
        <w:t xml:space="preserve">第四条 </w:t>
      </w:r>
      <w:r>
        <w:rPr>
          <w:rFonts w:hint="eastAsia" w:ascii="仿宋" w:hAnsi="仿宋" w:eastAsia="仿宋" w:cs="仿宋"/>
          <w:sz w:val="32"/>
          <w:szCs w:val="40"/>
        </w:rPr>
        <w:t>陕西省知识产权局统筹推进公共服务对接系统建设，促进各级各类服务机构间的工作协同和资源共享。国家知识产权运营（陕西）先进技术平台具体承担公共服务对接系统的运维工作。</w:t>
      </w:r>
    </w:p>
    <w:p w14:paraId="553CE22D">
      <w:pPr>
        <w:ind w:firstLine="760" w:firstLineChars="200"/>
        <w:rPr>
          <w:rStyle w:val="13"/>
          <w:rFonts w:ascii="黑体" w:hAnsi="黑体" w:eastAsia="黑体" w:cs="黑体"/>
          <w:b w:val="0"/>
          <w:color w:val="000000" w:themeColor="text1"/>
          <w:spacing w:val="30"/>
          <w:sz w:val="32"/>
          <w:szCs w:val="32"/>
          <w:shd w:val="clear" w:color="auto" w:fill="FFFFFF"/>
          <w14:textFill>
            <w14:solidFill>
              <w14:schemeClr w14:val="tx1"/>
            </w14:solidFill>
          </w14:textFill>
        </w:rPr>
      </w:pPr>
      <w:r>
        <w:rPr>
          <w:rStyle w:val="13"/>
          <w:rFonts w:hint="eastAsia" w:ascii="黑体" w:hAnsi="黑体" w:eastAsia="黑体" w:cs="黑体"/>
          <w:b w:val="0"/>
          <w:color w:val="000000" w:themeColor="text1"/>
          <w:spacing w:val="30"/>
          <w:sz w:val="32"/>
          <w:szCs w:val="32"/>
          <w:shd w:val="clear" w:color="auto" w:fill="FFFFFF"/>
          <w14:textFill>
            <w14:solidFill>
              <w14:schemeClr w14:val="tx1"/>
            </w14:solidFill>
          </w14:textFill>
        </w:rPr>
        <w:t>第二章 服务供给</w:t>
      </w:r>
    </w:p>
    <w:p w14:paraId="2C116A3D">
      <w:pPr>
        <w:ind w:firstLine="763" w:firstLineChars="200"/>
        <w:rPr>
          <w:rFonts w:ascii="仿宋" w:hAnsi="仿宋" w:eastAsia="仿宋" w:cs="仿宋"/>
          <w:color w:val="000000" w:themeColor="text1"/>
          <w:sz w:val="32"/>
          <w:szCs w:val="40"/>
          <w:shd w:val="clear" w:color="auto" w:fill="FFFFFF"/>
          <w14:textFill>
            <w14:solidFill>
              <w14:schemeClr w14:val="tx1"/>
            </w14:solidFill>
          </w14:textFill>
        </w:rPr>
      </w:pPr>
      <w:r>
        <w:rPr>
          <w:rStyle w:val="13"/>
          <w:rFonts w:hint="eastAsia" w:ascii="仿宋" w:hAnsi="仿宋" w:eastAsia="仿宋" w:cs="仿宋"/>
          <w:bCs/>
          <w:color w:val="000000" w:themeColor="text1"/>
          <w:spacing w:val="30"/>
          <w:sz w:val="32"/>
          <w:szCs w:val="32"/>
          <w:shd w:val="clear" w:color="auto" w:fill="FFFFFF"/>
          <w14:textFill>
            <w14:solidFill>
              <w14:schemeClr w14:val="tx1"/>
            </w14:solidFill>
          </w14:textFill>
        </w:rPr>
        <w:t>第五条</w:t>
      </w:r>
      <w:r>
        <w:rPr>
          <w:rFonts w:hint="eastAsia" w:ascii="仿宋" w:hAnsi="仿宋" w:eastAsia="仿宋" w:cs="仿宋"/>
          <w:color w:val="000000" w:themeColor="text1"/>
          <w:sz w:val="32"/>
          <w:szCs w:val="40"/>
          <w:shd w:val="clear" w:color="auto" w:fill="FFFFFF"/>
          <w14:textFill>
            <w14:solidFill>
              <w14:schemeClr w14:val="tx1"/>
            </w14:solidFill>
          </w14:textFill>
        </w:rPr>
        <w:t xml:space="preserve"> </w:t>
      </w:r>
      <w:r>
        <w:rPr>
          <w:rFonts w:hint="eastAsia" w:ascii="仿宋" w:hAnsi="仿宋" w:eastAsia="仿宋" w:cs="仿宋"/>
          <w:sz w:val="32"/>
          <w:szCs w:val="40"/>
        </w:rPr>
        <w:t>公共服务对接系统</w:t>
      </w:r>
      <w:r>
        <w:rPr>
          <w:rFonts w:hint="eastAsia" w:ascii="仿宋" w:hAnsi="仿宋" w:eastAsia="仿宋" w:cs="仿宋"/>
          <w:color w:val="000000" w:themeColor="text1"/>
          <w:sz w:val="32"/>
          <w:szCs w:val="40"/>
          <w:shd w:val="clear" w:color="auto" w:fill="FFFFFF"/>
          <w14:textFill>
            <w14:solidFill>
              <w14:schemeClr w14:val="tx1"/>
            </w14:solidFill>
          </w14:textFill>
        </w:rPr>
        <w:t>可分别提供专利、商标、地理标志、</w:t>
      </w:r>
      <w:r>
        <w:rPr>
          <w:rFonts w:hint="eastAsia" w:ascii="仿宋" w:hAnsi="仿宋" w:eastAsia="仿宋" w:cs="仿宋"/>
          <w:sz w:val="32"/>
          <w:szCs w:val="40"/>
        </w:rPr>
        <w:t>数据知识产权</w:t>
      </w:r>
      <w:r>
        <w:rPr>
          <w:rFonts w:hint="eastAsia" w:ascii="仿宋" w:hAnsi="仿宋" w:eastAsia="仿宋" w:cs="仿宋"/>
          <w:color w:val="000000" w:themeColor="text1"/>
          <w:sz w:val="32"/>
          <w:szCs w:val="40"/>
          <w:shd w:val="clear" w:color="auto" w:fill="FFFFFF"/>
          <w14:textFill>
            <w14:solidFill>
              <w14:schemeClr w14:val="tx1"/>
            </w14:solidFill>
          </w14:textFill>
        </w:rPr>
        <w:t>等</w:t>
      </w:r>
      <w:r>
        <w:rPr>
          <w:rFonts w:hint="eastAsia" w:ascii="仿宋" w:hAnsi="仿宋" w:eastAsia="仿宋" w:cs="仿宋"/>
          <w:sz w:val="32"/>
          <w:szCs w:val="40"/>
        </w:rPr>
        <w:t>知识产权信息公共</w:t>
      </w:r>
      <w:r>
        <w:rPr>
          <w:rFonts w:hint="eastAsia" w:ascii="仿宋" w:hAnsi="仿宋" w:eastAsia="仿宋" w:cs="仿宋"/>
          <w:color w:val="000000" w:themeColor="text1"/>
          <w:sz w:val="32"/>
          <w:szCs w:val="40"/>
          <w:shd w:val="clear" w:color="auto" w:fill="FFFFFF"/>
          <w14:textFill>
            <w14:solidFill>
              <w14:schemeClr w14:val="tx1"/>
            </w14:solidFill>
          </w14:textFill>
        </w:rPr>
        <w:t>服务。</w:t>
      </w:r>
    </w:p>
    <w:p w14:paraId="649E383F">
      <w:pPr>
        <w:ind w:firstLine="763" w:firstLineChars="200"/>
        <w:rPr>
          <w:rFonts w:ascii="仿宋" w:hAnsi="仿宋" w:eastAsia="仿宋" w:cs="仿宋"/>
          <w:color w:val="000000" w:themeColor="text1"/>
          <w:sz w:val="32"/>
          <w:szCs w:val="40"/>
          <w:shd w:val="clear" w:color="auto" w:fill="FFFFFF"/>
          <w14:textFill>
            <w14:solidFill>
              <w14:schemeClr w14:val="tx1"/>
            </w14:solidFill>
          </w14:textFill>
        </w:rPr>
      </w:pPr>
      <w:r>
        <w:rPr>
          <w:rStyle w:val="13"/>
          <w:rFonts w:hint="eastAsia" w:ascii="仿宋" w:hAnsi="仿宋" w:eastAsia="仿宋" w:cs="仿宋"/>
          <w:bCs/>
          <w:color w:val="000000" w:themeColor="text1"/>
          <w:spacing w:val="30"/>
          <w:sz w:val="32"/>
          <w:szCs w:val="32"/>
          <w:shd w:val="clear" w:color="auto" w:fill="FFFFFF"/>
          <w14:textFill>
            <w14:solidFill>
              <w14:schemeClr w14:val="tx1"/>
            </w14:solidFill>
          </w14:textFill>
        </w:rPr>
        <w:t xml:space="preserve">第六条 </w:t>
      </w:r>
      <w:r>
        <w:rPr>
          <w:rFonts w:hint="eastAsia" w:ascii="仿宋" w:hAnsi="仿宋" w:eastAsia="仿宋" w:cs="仿宋"/>
          <w:sz w:val="32"/>
          <w:szCs w:val="40"/>
        </w:rPr>
        <w:t>知识产权信息公共服务分为基础性服务和增值性服务，其中基础性服务为免费服务，增值性服务为付费服务。</w:t>
      </w:r>
    </w:p>
    <w:p w14:paraId="3A2CA00A">
      <w:pPr>
        <w:ind w:firstLine="640" w:firstLineChars="200"/>
        <w:rPr>
          <w:rFonts w:ascii="仿宋" w:hAnsi="仿宋" w:eastAsia="仿宋" w:cs="仿宋"/>
          <w:sz w:val="32"/>
          <w:szCs w:val="40"/>
        </w:rPr>
      </w:pPr>
      <w:r>
        <w:rPr>
          <w:rFonts w:hint="eastAsia" w:ascii="仿宋" w:hAnsi="仿宋" w:eastAsia="仿宋" w:cs="仿宋"/>
          <w:color w:val="000000" w:themeColor="text1"/>
          <w:sz w:val="32"/>
          <w:szCs w:val="40"/>
          <w:shd w:val="clear" w:color="auto" w:fill="FFFFFF"/>
          <w14:textFill>
            <w14:solidFill>
              <w14:schemeClr w14:val="tx1"/>
            </w14:solidFill>
          </w14:textFill>
        </w:rPr>
        <w:t>基础性服务含有知识产权</w:t>
      </w:r>
      <w:r>
        <w:rPr>
          <w:rFonts w:hint="eastAsia" w:ascii="仿宋" w:hAnsi="仿宋" w:eastAsia="仿宋" w:cs="仿宋"/>
          <w:sz w:val="32"/>
          <w:szCs w:val="40"/>
        </w:rPr>
        <w:t>信息利用</w:t>
      </w:r>
      <w:r>
        <w:rPr>
          <w:rFonts w:hint="eastAsia" w:ascii="仿宋" w:hAnsi="仿宋" w:eastAsia="仿宋" w:cs="仿宋"/>
          <w:color w:val="000000" w:themeColor="text1"/>
          <w:sz w:val="32"/>
          <w:szCs w:val="40"/>
          <w:shd w:val="clear" w:color="auto" w:fill="FFFFFF"/>
          <w14:textFill>
            <w14:solidFill>
              <w14:schemeClr w14:val="tx1"/>
            </w14:solidFill>
          </w14:textFill>
        </w:rPr>
        <w:t>通识性培训</w:t>
      </w:r>
      <w:r>
        <w:rPr>
          <w:rFonts w:hint="eastAsia" w:ascii="仿宋" w:hAnsi="仿宋" w:eastAsia="仿宋" w:cs="仿宋"/>
          <w:sz w:val="32"/>
          <w:szCs w:val="40"/>
        </w:rPr>
        <w:t>；知识产权信息领域咨询服务；</w:t>
      </w:r>
      <w:r>
        <w:rPr>
          <w:rFonts w:hint="eastAsia" w:ascii="仿宋" w:hAnsi="仿宋" w:eastAsia="仿宋" w:cs="仿宋"/>
          <w:color w:val="000000" w:themeColor="text1"/>
          <w:sz w:val="32"/>
          <w:szCs w:val="40"/>
          <w:shd w:val="clear" w:color="auto" w:fill="FFFFFF"/>
          <w14:textFill>
            <w14:solidFill>
              <w14:schemeClr w14:val="tx1"/>
            </w14:solidFill>
          </w14:textFill>
        </w:rPr>
        <w:t>基础性知识产权信息检索、查询和统计服务等，具体包括</w:t>
      </w:r>
      <w:r>
        <w:rPr>
          <w:rFonts w:hint="eastAsia" w:ascii="仿宋" w:hAnsi="仿宋" w:eastAsia="仿宋" w:cs="仿宋"/>
          <w:sz w:val="32"/>
          <w:szCs w:val="40"/>
        </w:rPr>
        <w:t>：</w:t>
      </w:r>
    </w:p>
    <w:p w14:paraId="43948461">
      <w:pPr>
        <w:ind w:firstLine="640" w:firstLineChars="200"/>
        <w:rPr>
          <w:rFonts w:ascii="仿宋" w:hAnsi="仿宋" w:eastAsia="仿宋" w:cs="仿宋"/>
          <w:sz w:val="32"/>
          <w:szCs w:val="40"/>
        </w:rPr>
      </w:pPr>
      <w:r>
        <w:rPr>
          <w:rFonts w:hint="eastAsia" w:ascii="仿宋" w:hAnsi="仿宋" w:eastAsia="仿宋" w:cs="仿宋"/>
          <w:sz w:val="32"/>
          <w:szCs w:val="40"/>
        </w:rPr>
        <w:t>1.公益性知识产权公共服务产品的提供；</w:t>
      </w:r>
    </w:p>
    <w:p w14:paraId="4C98302E">
      <w:pPr>
        <w:ind w:firstLine="640" w:firstLineChars="200"/>
        <w:rPr>
          <w:rFonts w:ascii="仿宋" w:hAnsi="仿宋" w:eastAsia="仿宋" w:cs="仿宋"/>
          <w:sz w:val="32"/>
          <w:szCs w:val="40"/>
        </w:rPr>
      </w:pPr>
      <w:r>
        <w:rPr>
          <w:rFonts w:hint="eastAsia" w:ascii="仿宋" w:hAnsi="仿宋" w:eastAsia="仿宋" w:cs="仿宋"/>
          <w:sz w:val="32"/>
          <w:szCs w:val="40"/>
        </w:rPr>
        <w:t>2.专利、商标法律状态查询；</w:t>
      </w:r>
    </w:p>
    <w:p w14:paraId="72BA0BBB">
      <w:pPr>
        <w:ind w:firstLine="640" w:firstLineChars="200"/>
        <w:rPr>
          <w:rFonts w:ascii="仿宋" w:hAnsi="仿宋" w:eastAsia="仿宋" w:cs="仿宋"/>
          <w:sz w:val="32"/>
          <w:szCs w:val="40"/>
        </w:rPr>
      </w:pPr>
      <w:r>
        <w:rPr>
          <w:rFonts w:hint="eastAsia" w:ascii="仿宋" w:hAnsi="仿宋" w:eastAsia="仿宋" w:cs="仿宋"/>
          <w:sz w:val="32"/>
          <w:szCs w:val="40"/>
        </w:rPr>
        <w:t>3.具体知识产权权利人的国内专利、商标数量检索；</w:t>
      </w:r>
    </w:p>
    <w:p w14:paraId="44C3E781">
      <w:pPr>
        <w:ind w:firstLine="640" w:firstLineChars="200"/>
        <w:rPr>
          <w:rFonts w:ascii="仿宋" w:hAnsi="仿宋" w:eastAsia="仿宋" w:cs="仿宋"/>
          <w:sz w:val="32"/>
          <w:szCs w:val="40"/>
        </w:rPr>
      </w:pPr>
      <w:r>
        <w:rPr>
          <w:rFonts w:hint="eastAsia" w:ascii="仿宋" w:hAnsi="仿宋" w:eastAsia="仿宋" w:cs="仿宋"/>
          <w:sz w:val="32"/>
          <w:szCs w:val="40"/>
        </w:rPr>
        <w:t>4.国内行政区域（不含高新技术开发区、经济开发区）范围内专利、商标数量统计；</w:t>
      </w:r>
    </w:p>
    <w:p w14:paraId="3647892E">
      <w:pPr>
        <w:spacing w:line="600" w:lineRule="exact"/>
        <w:ind w:firstLine="640" w:firstLineChars="200"/>
        <w:rPr>
          <w:rFonts w:ascii="仿宋" w:hAnsi="仿宋" w:eastAsia="仿宋" w:cs="仿宋"/>
          <w:sz w:val="32"/>
          <w:szCs w:val="40"/>
        </w:rPr>
      </w:pPr>
      <w:r>
        <w:rPr>
          <w:rFonts w:hint="eastAsia" w:ascii="仿宋" w:hAnsi="仿宋" w:eastAsia="仿宋" w:cs="仿宋"/>
          <w:sz w:val="32"/>
          <w:szCs w:val="40"/>
        </w:rPr>
        <w:t>5.地理标志及专用标志信息查询；</w:t>
      </w:r>
    </w:p>
    <w:p w14:paraId="5CE866E3">
      <w:pPr>
        <w:pStyle w:val="2"/>
        <w:spacing w:after="0" w:line="600" w:lineRule="exact"/>
        <w:ind w:firstLine="640" w:firstLineChars="200"/>
        <w:rPr>
          <w:rFonts w:ascii="仿宋" w:hAnsi="仿宋" w:eastAsia="仿宋" w:cs="仿宋"/>
          <w:sz w:val="32"/>
          <w:szCs w:val="40"/>
        </w:rPr>
      </w:pPr>
      <w:r>
        <w:rPr>
          <w:rFonts w:hint="eastAsia" w:ascii="仿宋" w:hAnsi="仿宋" w:eastAsia="仿宋" w:cs="仿宋"/>
          <w:sz w:val="32"/>
          <w:szCs w:val="40"/>
        </w:rPr>
        <w:t>6.数据知识产权相关信息查询；</w:t>
      </w:r>
    </w:p>
    <w:p w14:paraId="039E2D8F">
      <w:pPr>
        <w:spacing w:line="600" w:lineRule="exact"/>
        <w:ind w:firstLine="640" w:firstLineChars="200"/>
        <w:rPr>
          <w:rFonts w:ascii="仿宋" w:hAnsi="仿宋" w:eastAsia="仿宋" w:cs="仿宋"/>
          <w:sz w:val="32"/>
          <w:szCs w:val="40"/>
        </w:rPr>
      </w:pPr>
      <w:r>
        <w:rPr>
          <w:rFonts w:hint="eastAsia" w:ascii="仿宋" w:hAnsi="仿宋" w:eastAsia="仿宋" w:cs="仿宋"/>
          <w:sz w:val="32"/>
          <w:szCs w:val="40"/>
        </w:rPr>
        <w:t xml:space="preserve">7.知识产权基础知识及相关政策咨询； </w:t>
      </w:r>
    </w:p>
    <w:p w14:paraId="2190F27C">
      <w:pPr>
        <w:spacing w:line="600" w:lineRule="exact"/>
        <w:ind w:firstLine="640" w:firstLineChars="200"/>
        <w:rPr>
          <w:rFonts w:ascii="仿宋" w:hAnsi="仿宋" w:eastAsia="仿宋" w:cs="仿宋"/>
          <w:sz w:val="32"/>
          <w:szCs w:val="40"/>
        </w:rPr>
      </w:pPr>
      <w:r>
        <w:rPr>
          <w:rFonts w:hint="eastAsia" w:ascii="仿宋" w:hAnsi="仿宋" w:eastAsia="仿宋" w:cs="仿宋"/>
          <w:sz w:val="32"/>
          <w:szCs w:val="40"/>
        </w:rPr>
        <w:t xml:space="preserve">8.知识产权信息利用通识性培训。 </w:t>
      </w:r>
    </w:p>
    <w:p w14:paraId="2C1AE055">
      <w:pPr>
        <w:ind w:firstLine="640" w:firstLineChars="200"/>
        <w:rPr>
          <w:rFonts w:ascii="仿宋" w:hAnsi="仿宋" w:eastAsia="仿宋" w:cs="仿宋"/>
          <w:sz w:val="32"/>
          <w:szCs w:val="40"/>
        </w:rPr>
      </w:pPr>
      <w:r>
        <w:rPr>
          <w:rFonts w:hint="eastAsia" w:ascii="仿宋" w:hAnsi="仿宋" w:eastAsia="仿宋" w:cs="仿宋"/>
          <w:sz w:val="32"/>
          <w:szCs w:val="40"/>
        </w:rPr>
        <w:t>增值性服务含有知识产权专题数据库建设；专利导航服务；知识产权预警服务；知识产权进阶培训；专利、商标、地理标志等各类知识产权专业检索和分析服务，具体包括：</w:t>
      </w:r>
    </w:p>
    <w:p w14:paraId="63D1021F">
      <w:pPr>
        <w:ind w:firstLine="640" w:firstLineChars="200"/>
        <w:rPr>
          <w:rFonts w:ascii="仿宋" w:hAnsi="仿宋" w:eastAsia="仿宋" w:cs="仿宋"/>
          <w:sz w:val="32"/>
          <w:szCs w:val="40"/>
        </w:rPr>
      </w:pPr>
      <w:r>
        <w:rPr>
          <w:rFonts w:hint="eastAsia" w:ascii="仿宋" w:hAnsi="仿宋" w:eastAsia="仿宋" w:cs="仿宋"/>
          <w:sz w:val="32"/>
          <w:szCs w:val="40"/>
        </w:rPr>
        <w:t>1.相关产业专利检索分析及专题数据库建设；</w:t>
      </w:r>
    </w:p>
    <w:p w14:paraId="0A3F608C">
      <w:pPr>
        <w:ind w:firstLine="640" w:firstLineChars="200"/>
        <w:rPr>
          <w:rFonts w:ascii="仿宋" w:hAnsi="仿宋" w:eastAsia="仿宋" w:cs="仿宋"/>
          <w:sz w:val="32"/>
          <w:szCs w:val="40"/>
        </w:rPr>
      </w:pPr>
      <w:r>
        <w:rPr>
          <w:rFonts w:hint="eastAsia" w:ascii="仿宋" w:hAnsi="仿宋" w:eastAsia="仿宋" w:cs="仿宋"/>
          <w:sz w:val="32"/>
          <w:szCs w:val="40"/>
        </w:rPr>
        <w:t>2.具体技术领域的专利检索与分析、专利技术路线梳理与比对、专利侵权比对；</w:t>
      </w:r>
    </w:p>
    <w:p w14:paraId="5B723E1B">
      <w:pPr>
        <w:ind w:firstLine="640" w:firstLineChars="200"/>
        <w:rPr>
          <w:rFonts w:ascii="仿宋" w:hAnsi="仿宋" w:eastAsia="仿宋" w:cs="仿宋"/>
          <w:sz w:val="32"/>
          <w:szCs w:val="40"/>
        </w:rPr>
      </w:pPr>
      <w:r>
        <w:rPr>
          <w:rFonts w:hint="eastAsia" w:ascii="仿宋" w:hAnsi="仿宋" w:eastAsia="仿宋" w:cs="仿宋"/>
          <w:sz w:val="32"/>
          <w:szCs w:val="40"/>
        </w:rPr>
        <w:t>3.国外专利情况的检索；</w:t>
      </w:r>
    </w:p>
    <w:p w14:paraId="0FDAE5FC">
      <w:pPr>
        <w:ind w:firstLine="640" w:firstLineChars="200"/>
        <w:rPr>
          <w:rFonts w:ascii="仿宋" w:hAnsi="仿宋" w:eastAsia="仿宋" w:cs="仿宋"/>
          <w:sz w:val="32"/>
          <w:szCs w:val="40"/>
        </w:rPr>
      </w:pPr>
      <w:r>
        <w:rPr>
          <w:rFonts w:hint="eastAsia" w:ascii="仿宋" w:hAnsi="仿宋" w:eastAsia="仿宋" w:cs="仿宋"/>
          <w:sz w:val="32"/>
          <w:szCs w:val="40"/>
        </w:rPr>
        <w:t>4.非行政区划的经济开发区、高新技术开发区等特定区域、产业园区专利数据统计及分析；</w:t>
      </w:r>
    </w:p>
    <w:p w14:paraId="5429AC34">
      <w:pPr>
        <w:ind w:firstLine="640" w:firstLineChars="200"/>
        <w:rPr>
          <w:rFonts w:ascii="仿宋" w:hAnsi="仿宋" w:eastAsia="仿宋" w:cs="仿宋"/>
          <w:sz w:val="32"/>
          <w:szCs w:val="40"/>
        </w:rPr>
      </w:pPr>
      <w:r>
        <w:rPr>
          <w:rFonts w:hint="eastAsia" w:ascii="仿宋" w:hAnsi="仿宋" w:eastAsia="仿宋" w:cs="仿宋"/>
          <w:sz w:val="32"/>
          <w:szCs w:val="40"/>
        </w:rPr>
        <w:t>5.商标检索分析；商标品牌保护方案；区域公用品牌战略规划等；</w:t>
      </w:r>
    </w:p>
    <w:p w14:paraId="09B3BA62">
      <w:pPr>
        <w:ind w:firstLine="640" w:firstLineChars="200"/>
        <w:rPr>
          <w:rFonts w:ascii="仿宋" w:hAnsi="仿宋" w:eastAsia="仿宋" w:cs="仿宋"/>
          <w:color w:val="000000" w:themeColor="text1"/>
          <w:sz w:val="32"/>
          <w:szCs w:val="40"/>
          <w:shd w:val="clear" w:color="auto" w:fill="FFFFFF"/>
          <w14:textFill>
            <w14:solidFill>
              <w14:schemeClr w14:val="tx1"/>
            </w14:solidFill>
          </w14:textFill>
        </w:rPr>
      </w:pPr>
      <w:r>
        <w:rPr>
          <w:rFonts w:hint="eastAsia" w:ascii="仿宋" w:hAnsi="仿宋" w:eastAsia="仿宋" w:cs="仿宋"/>
          <w:color w:val="000000" w:themeColor="text1"/>
          <w:sz w:val="32"/>
          <w:szCs w:val="40"/>
          <w:shd w:val="clear" w:color="auto" w:fill="FFFFFF"/>
          <w14:textFill>
            <w14:solidFill>
              <w14:schemeClr w14:val="tx1"/>
            </w14:solidFill>
          </w14:textFill>
        </w:rPr>
        <w:t>6.其他需要构建检索式、进行技术分解的专利检索事项。</w:t>
      </w:r>
    </w:p>
    <w:p w14:paraId="5DD3BF8B">
      <w:pPr>
        <w:numPr>
          <w:ilvl w:val="255"/>
          <w:numId w:val="0"/>
        </w:numPr>
        <w:ind w:firstLine="760" w:firstLineChars="200"/>
        <w:rPr>
          <w:rStyle w:val="13"/>
          <w:rFonts w:ascii="黑体" w:hAnsi="黑体" w:eastAsia="黑体" w:cs="黑体"/>
          <w:b w:val="0"/>
          <w:color w:val="000000" w:themeColor="text1"/>
          <w:spacing w:val="30"/>
          <w:sz w:val="32"/>
          <w:szCs w:val="32"/>
          <w:shd w:val="clear" w:color="auto" w:fill="FFFFFF"/>
          <w14:textFill>
            <w14:solidFill>
              <w14:schemeClr w14:val="tx1"/>
            </w14:solidFill>
          </w14:textFill>
        </w:rPr>
      </w:pPr>
      <w:r>
        <w:rPr>
          <w:rStyle w:val="13"/>
          <w:rFonts w:hint="eastAsia" w:ascii="黑体" w:hAnsi="黑体" w:eastAsia="黑体" w:cs="黑体"/>
          <w:b w:val="0"/>
          <w:color w:val="000000" w:themeColor="text1"/>
          <w:spacing w:val="30"/>
          <w:sz w:val="32"/>
          <w:szCs w:val="32"/>
          <w:shd w:val="clear" w:color="auto" w:fill="FFFFFF"/>
          <w14:textFill>
            <w14:solidFill>
              <w14:schemeClr w14:val="tx1"/>
            </w14:solidFill>
          </w14:textFill>
        </w:rPr>
        <w:t>第三章 供需匹配</w:t>
      </w:r>
    </w:p>
    <w:p w14:paraId="72F80E7C">
      <w:pPr>
        <w:numPr>
          <w:ilvl w:val="255"/>
          <w:numId w:val="0"/>
        </w:numPr>
        <w:ind w:firstLine="763" w:firstLineChars="200"/>
        <w:rPr>
          <w:rFonts w:ascii="仿宋" w:hAnsi="仿宋" w:eastAsia="仿宋" w:cs="仿宋"/>
          <w:sz w:val="32"/>
          <w:szCs w:val="40"/>
        </w:rPr>
      </w:pPr>
      <w:r>
        <w:rPr>
          <w:rStyle w:val="13"/>
          <w:rFonts w:hint="eastAsia" w:ascii="仿宋" w:hAnsi="仿宋" w:eastAsia="仿宋" w:cs="仿宋"/>
          <w:bCs/>
          <w:color w:val="000000" w:themeColor="text1"/>
          <w:spacing w:val="30"/>
          <w:sz w:val="32"/>
          <w:szCs w:val="32"/>
          <w:shd w:val="clear" w:color="auto" w:fill="FFFFFF"/>
          <w14:textFill>
            <w14:solidFill>
              <w14:schemeClr w14:val="tx1"/>
            </w14:solidFill>
          </w14:textFill>
        </w:rPr>
        <w:t>第七条</w:t>
      </w:r>
      <w:r>
        <w:rPr>
          <w:rFonts w:hint="eastAsia" w:ascii="仿宋" w:hAnsi="仿宋" w:eastAsia="仿宋" w:cs="仿宋"/>
          <w:sz w:val="32"/>
          <w:szCs w:val="40"/>
        </w:rPr>
        <w:t xml:space="preserve"> 各服务方应在公共服务对接系统公开服务类别、优势领域、地理位置、服务资源、典型成果、联系方式等信息，便于依据服务需求由系统自动匹配或由知识产权信息服务的需求方（以下简称“需求方”）自主选择服务方。</w:t>
      </w:r>
    </w:p>
    <w:p w14:paraId="68E48C2B">
      <w:pPr>
        <w:ind w:firstLine="763" w:firstLineChars="200"/>
        <w:rPr>
          <w:rFonts w:ascii="仿宋" w:hAnsi="仿宋" w:eastAsia="仿宋" w:cs="仿宋"/>
          <w:sz w:val="32"/>
          <w:szCs w:val="40"/>
        </w:rPr>
      </w:pPr>
      <w:r>
        <w:rPr>
          <w:rStyle w:val="13"/>
          <w:rFonts w:hint="eastAsia" w:ascii="仿宋" w:hAnsi="仿宋" w:eastAsia="仿宋" w:cs="仿宋"/>
          <w:bCs/>
          <w:color w:val="000000" w:themeColor="text1"/>
          <w:spacing w:val="30"/>
          <w:sz w:val="32"/>
          <w:szCs w:val="32"/>
          <w:shd w:val="clear" w:color="auto" w:fill="FFFFFF"/>
          <w14:textFill>
            <w14:solidFill>
              <w14:schemeClr w14:val="tx1"/>
            </w14:solidFill>
          </w14:textFill>
        </w:rPr>
        <w:t xml:space="preserve">第八条 </w:t>
      </w:r>
      <w:r>
        <w:rPr>
          <w:rFonts w:hint="eastAsia" w:ascii="仿宋" w:hAnsi="仿宋" w:eastAsia="仿宋" w:cs="仿宋"/>
          <w:sz w:val="32"/>
          <w:szCs w:val="40"/>
        </w:rPr>
        <w:t>需求方在确认服务方后，应按照系统规定的内容</w:t>
      </w:r>
      <w:r>
        <w:rPr>
          <w:rFonts w:ascii="仿宋" w:hAnsi="仿宋" w:eastAsia="仿宋" w:cs="仿宋"/>
          <w:sz w:val="32"/>
          <w:szCs w:val="40"/>
        </w:rPr>
        <w:t>形式</w:t>
      </w:r>
      <w:r>
        <w:rPr>
          <w:rFonts w:hint="eastAsia" w:ascii="仿宋" w:hAnsi="仿宋" w:eastAsia="仿宋" w:cs="仿宋"/>
          <w:sz w:val="32"/>
          <w:szCs w:val="40"/>
        </w:rPr>
        <w:t>提交服务需求，经双方沟通后，服务方应对服务需求进行确认。需求方</w:t>
      </w:r>
      <w:r>
        <w:rPr>
          <w:rFonts w:ascii="仿宋" w:hAnsi="仿宋" w:eastAsia="仿宋" w:cs="仿宋"/>
          <w:sz w:val="32"/>
          <w:szCs w:val="40"/>
        </w:rPr>
        <w:t>应当对</w:t>
      </w:r>
      <w:r>
        <w:rPr>
          <w:rFonts w:hint="eastAsia" w:ascii="仿宋" w:hAnsi="仿宋" w:eastAsia="仿宋" w:cs="仿宋"/>
          <w:sz w:val="32"/>
          <w:szCs w:val="40"/>
        </w:rPr>
        <w:t>所</w:t>
      </w:r>
      <w:r>
        <w:rPr>
          <w:rFonts w:ascii="仿宋" w:hAnsi="仿宋" w:eastAsia="仿宋" w:cs="仿宋"/>
          <w:sz w:val="32"/>
          <w:szCs w:val="40"/>
        </w:rPr>
        <w:t>提交</w:t>
      </w:r>
      <w:r>
        <w:rPr>
          <w:rFonts w:hint="eastAsia" w:ascii="仿宋" w:hAnsi="仿宋" w:eastAsia="仿宋" w:cs="仿宋"/>
          <w:sz w:val="32"/>
          <w:szCs w:val="40"/>
        </w:rPr>
        <w:t>服务</w:t>
      </w:r>
      <w:r>
        <w:rPr>
          <w:rFonts w:ascii="仿宋" w:hAnsi="仿宋" w:eastAsia="仿宋" w:cs="仿宋"/>
          <w:sz w:val="32"/>
          <w:szCs w:val="40"/>
        </w:rPr>
        <w:t>申请事项信息的真实性、合法性和有效性负责</w:t>
      </w:r>
      <w:r>
        <w:rPr>
          <w:rFonts w:hint="eastAsia" w:ascii="仿宋" w:hAnsi="仿宋" w:eastAsia="仿宋" w:cs="仿宋"/>
          <w:sz w:val="32"/>
          <w:szCs w:val="40"/>
        </w:rPr>
        <w:t>，</w:t>
      </w:r>
      <w:r>
        <w:rPr>
          <w:rFonts w:ascii="仿宋" w:hAnsi="仿宋" w:eastAsia="仿宋" w:cs="仿宋"/>
          <w:sz w:val="32"/>
          <w:szCs w:val="40"/>
        </w:rPr>
        <w:t>并</w:t>
      </w:r>
      <w:r>
        <w:rPr>
          <w:rFonts w:hint="eastAsia" w:ascii="仿宋" w:hAnsi="仿宋" w:eastAsia="仿宋" w:cs="仿宋"/>
          <w:sz w:val="32"/>
          <w:szCs w:val="40"/>
        </w:rPr>
        <w:t>做出</w:t>
      </w:r>
      <w:r>
        <w:rPr>
          <w:rFonts w:ascii="仿宋" w:hAnsi="仿宋" w:eastAsia="仿宋" w:cs="仿宋"/>
          <w:sz w:val="32"/>
          <w:szCs w:val="40"/>
        </w:rPr>
        <w:t>承诺声明。</w:t>
      </w:r>
    </w:p>
    <w:p w14:paraId="57C7EC01">
      <w:pPr>
        <w:numPr>
          <w:ilvl w:val="255"/>
          <w:numId w:val="0"/>
        </w:numPr>
        <w:ind w:firstLine="760" w:firstLineChars="200"/>
        <w:rPr>
          <w:rFonts w:ascii="仿宋" w:hAnsi="仿宋" w:eastAsia="仿宋" w:cs="仿宋"/>
          <w:sz w:val="32"/>
          <w:szCs w:val="40"/>
        </w:rPr>
      </w:pPr>
      <w:r>
        <w:rPr>
          <w:rStyle w:val="13"/>
          <w:rFonts w:hint="eastAsia" w:ascii="黑体" w:hAnsi="黑体" w:eastAsia="黑体" w:cs="黑体"/>
          <w:b w:val="0"/>
          <w:color w:val="000000" w:themeColor="text1"/>
          <w:spacing w:val="30"/>
          <w:sz w:val="32"/>
          <w:szCs w:val="32"/>
          <w:shd w:val="clear" w:color="auto" w:fill="FFFFFF"/>
          <w14:textFill>
            <w14:solidFill>
              <w14:schemeClr w14:val="tx1"/>
            </w14:solidFill>
          </w14:textFill>
        </w:rPr>
        <w:t>第四章 服务开展</w:t>
      </w:r>
    </w:p>
    <w:p w14:paraId="4A0BD62A">
      <w:pPr>
        <w:ind w:firstLine="763" w:firstLineChars="200"/>
      </w:pPr>
      <w:r>
        <w:rPr>
          <w:rStyle w:val="13"/>
          <w:rFonts w:hint="eastAsia" w:ascii="仿宋" w:hAnsi="仿宋" w:eastAsia="仿宋" w:cs="仿宋"/>
          <w:bCs/>
          <w:spacing w:val="30"/>
          <w:sz w:val="32"/>
          <w:szCs w:val="32"/>
          <w:shd w:val="clear" w:color="auto" w:fill="FFFFFF"/>
        </w:rPr>
        <w:t>第九条</w:t>
      </w:r>
      <w:r>
        <w:rPr>
          <w:rFonts w:hint="eastAsia" w:ascii="仿宋" w:hAnsi="仿宋" w:eastAsia="仿宋" w:cs="仿宋"/>
          <w:sz w:val="32"/>
          <w:szCs w:val="40"/>
        </w:rPr>
        <w:t xml:space="preserve"> 每季度基础性信息检索与咨询类服务30次</w:t>
      </w:r>
      <w:r>
        <w:rPr>
          <w:rFonts w:hint="eastAsia" w:ascii="仿宋" w:hAnsi="仿宋" w:eastAsia="仿宋" w:cs="仿宋"/>
          <w:sz w:val="32"/>
          <w:szCs w:val="40"/>
          <w:lang w:val="en-US" w:eastAsia="zh-CN"/>
        </w:rPr>
        <w:t>以内的</w:t>
      </w:r>
      <w:r>
        <w:rPr>
          <w:rFonts w:hint="eastAsia" w:ascii="仿宋" w:hAnsi="仿宋" w:eastAsia="仿宋" w:cs="仿宋"/>
          <w:sz w:val="32"/>
          <w:szCs w:val="40"/>
        </w:rPr>
        <w:t>，基础性培训服务2次</w:t>
      </w:r>
      <w:r>
        <w:rPr>
          <w:rFonts w:hint="eastAsia" w:ascii="仿宋" w:hAnsi="仿宋" w:eastAsia="仿宋" w:cs="仿宋"/>
          <w:sz w:val="32"/>
          <w:szCs w:val="40"/>
          <w:lang w:val="en-US" w:eastAsia="zh-CN"/>
        </w:rPr>
        <w:t>以内的（含2次）</w:t>
      </w:r>
      <w:r>
        <w:rPr>
          <w:rFonts w:hint="eastAsia" w:ascii="仿宋" w:hAnsi="仿宋" w:eastAsia="仿宋" w:cs="仿宋"/>
          <w:sz w:val="32"/>
          <w:szCs w:val="40"/>
        </w:rPr>
        <w:t>，服务方应</w:t>
      </w:r>
      <w:r>
        <w:rPr>
          <w:rFonts w:hint="eastAsia" w:ascii="仿宋" w:hAnsi="仿宋" w:eastAsia="仿宋" w:cs="仿宋"/>
          <w:sz w:val="32"/>
          <w:szCs w:val="40"/>
          <w:lang w:val="en-US" w:eastAsia="zh-CN"/>
        </w:rPr>
        <w:t>予以有效提供</w:t>
      </w:r>
      <w:r>
        <w:rPr>
          <w:rFonts w:hint="eastAsia" w:ascii="仿宋" w:hAnsi="仿宋" w:eastAsia="仿宋" w:cs="仿宋"/>
          <w:sz w:val="32"/>
          <w:szCs w:val="40"/>
        </w:rPr>
        <w:t>。</w:t>
      </w:r>
    </w:p>
    <w:p w14:paraId="23A1CB9F">
      <w:pPr>
        <w:numPr>
          <w:ilvl w:val="255"/>
          <w:numId w:val="0"/>
        </w:numPr>
        <w:ind w:firstLine="763" w:firstLineChars="200"/>
        <w:rPr>
          <w:rFonts w:ascii="仿宋" w:hAnsi="仿宋" w:eastAsia="仿宋" w:cs="仿宋"/>
          <w:sz w:val="32"/>
          <w:szCs w:val="40"/>
        </w:rPr>
      </w:pPr>
      <w:r>
        <w:rPr>
          <w:rStyle w:val="13"/>
          <w:rFonts w:hint="eastAsia" w:ascii="仿宋" w:hAnsi="仿宋" w:eastAsia="仿宋" w:cs="仿宋"/>
          <w:bCs/>
          <w:spacing w:val="30"/>
          <w:sz w:val="32"/>
          <w:szCs w:val="32"/>
          <w:shd w:val="clear" w:color="auto" w:fill="FFFFFF"/>
        </w:rPr>
        <w:t>第十条</w:t>
      </w:r>
      <w:r>
        <w:rPr>
          <w:rFonts w:hint="eastAsia" w:ascii="仿宋" w:hAnsi="仿宋" w:eastAsia="仿宋" w:cs="仿宋"/>
          <w:sz w:val="32"/>
          <w:szCs w:val="40"/>
        </w:rPr>
        <w:t xml:space="preserve"> 增值性服务由服务方与需求方自行约定服务费用和相关事项。服务方接收服务需求后，对服务需求与自身服务资源进行比对，因服务领域、服务价格不匹配等重要因素可申请退回服务需求并说明原因，退回的服务需求由系统另行匹配，对于服务需求无异议的，服务方确认接收并开展服务。</w:t>
      </w:r>
    </w:p>
    <w:p w14:paraId="29BE8C36">
      <w:pPr>
        <w:numPr>
          <w:ilvl w:val="255"/>
          <w:numId w:val="0"/>
        </w:numPr>
        <w:ind w:firstLine="763" w:firstLineChars="200"/>
        <w:rPr>
          <w:rFonts w:ascii="仿宋" w:hAnsi="仿宋" w:eastAsia="仿宋" w:cs="仿宋"/>
          <w:sz w:val="32"/>
          <w:szCs w:val="40"/>
        </w:rPr>
      </w:pPr>
      <w:r>
        <w:rPr>
          <w:rStyle w:val="13"/>
          <w:rFonts w:hint="eastAsia" w:ascii="仿宋" w:hAnsi="仿宋" w:eastAsia="仿宋" w:cs="仿宋"/>
          <w:bCs/>
          <w:spacing w:val="30"/>
          <w:sz w:val="32"/>
          <w:szCs w:val="32"/>
          <w:shd w:val="clear" w:color="auto" w:fill="FFFFFF"/>
        </w:rPr>
        <w:t xml:space="preserve">第十一条 </w:t>
      </w:r>
      <w:r>
        <w:rPr>
          <w:rFonts w:hint="eastAsia" w:ascii="仿宋" w:hAnsi="仿宋" w:eastAsia="仿宋" w:cs="仿宋"/>
          <w:sz w:val="32"/>
          <w:szCs w:val="40"/>
        </w:rPr>
        <w:t>服务方完成相关基础性服务，应向系统提交服务成果（检索报告、分析报告、培训现场照片等），经需求方确认后完成本次服务。开展增值性服务的，应在不涉及相关商业秘密的前提下，向系统上传服务合同首页等证明性文件。</w:t>
      </w:r>
    </w:p>
    <w:p w14:paraId="6F1D1D6E">
      <w:pPr>
        <w:numPr>
          <w:ilvl w:val="255"/>
          <w:numId w:val="0"/>
        </w:numPr>
        <w:ind w:firstLine="763" w:firstLineChars="200"/>
        <w:rPr>
          <w:rFonts w:ascii="仿宋" w:hAnsi="仿宋" w:eastAsia="仿宋" w:cs="仿宋"/>
          <w:sz w:val="32"/>
          <w:szCs w:val="40"/>
        </w:rPr>
      </w:pPr>
      <w:r>
        <w:rPr>
          <w:rStyle w:val="13"/>
          <w:rFonts w:hint="eastAsia" w:ascii="仿宋" w:hAnsi="仿宋" w:eastAsia="仿宋" w:cs="仿宋"/>
          <w:bCs/>
          <w:color w:val="000000" w:themeColor="text1"/>
          <w:spacing w:val="30"/>
          <w:sz w:val="32"/>
          <w:szCs w:val="32"/>
          <w:shd w:val="clear" w:color="auto" w:fill="FFFFFF"/>
          <w14:textFill>
            <w14:solidFill>
              <w14:schemeClr w14:val="tx1"/>
            </w14:solidFill>
          </w14:textFill>
        </w:rPr>
        <w:t>第十二条</w:t>
      </w:r>
      <w:r>
        <w:rPr>
          <w:rFonts w:hint="eastAsia" w:ascii="仿宋" w:hAnsi="仿宋" w:eastAsia="仿宋" w:cs="仿宋"/>
          <w:sz w:val="32"/>
          <w:szCs w:val="40"/>
        </w:rPr>
        <w:t xml:space="preserve"> 服务方主动开展知识产权信息公共服务的，在服务任务完成后，需向公共服务对接系统提交相应的服务成果证明文件。</w:t>
      </w:r>
    </w:p>
    <w:p w14:paraId="7A7CB03D">
      <w:pPr>
        <w:numPr>
          <w:ilvl w:val="255"/>
          <w:numId w:val="0"/>
        </w:numPr>
        <w:ind w:firstLine="760" w:firstLineChars="200"/>
        <w:rPr>
          <w:rStyle w:val="13"/>
          <w:rFonts w:ascii="黑体" w:hAnsi="黑体" w:eastAsia="黑体" w:cs="黑体"/>
          <w:b w:val="0"/>
          <w:color w:val="000000" w:themeColor="text1"/>
          <w:spacing w:val="30"/>
          <w:sz w:val="32"/>
          <w:szCs w:val="32"/>
          <w:shd w:val="clear" w:color="auto" w:fill="FFFFFF"/>
          <w14:textFill>
            <w14:solidFill>
              <w14:schemeClr w14:val="tx1"/>
            </w14:solidFill>
          </w14:textFill>
        </w:rPr>
      </w:pPr>
      <w:r>
        <w:rPr>
          <w:rStyle w:val="13"/>
          <w:rFonts w:hint="eastAsia" w:ascii="黑体" w:hAnsi="黑体" w:eastAsia="黑体" w:cs="黑体"/>
          <w:b w:val="0"/>
          <w:color w:val="000000" w:themeColor="text1"/>
          <w:spacing w:val="30"/>
          <w:sz w:val="32"/>
          <w:szCs w:val="32"/>
          <w:shd w:val="clear" w:color="auto" w:fill="FFFFFF"/>
          <w14:textFill>
            <w14:solidFill>
              <w14:schemeClr w14:val="tx1"/>
            </w14:solidFill>
          </w14:textFill>
        </w:rPr>
        <w:t>第五章 服务支持</w:t>
      </w:r>
    </w:p>
    <w:p w14:paraId="0A75ED8F">
      <w:pPr>
        <w:numPr>
          <w:ilvl w:val="255"/>
          <w:numId w:val="0"/>
        </w:numPr>
        <w:ind w:firstLine="763" w:firstLineChars="200"/>
        <w:rPr>
          <w:rFonts w:ascii="仿宋" w:hAnsi="仿宋" w:eastAsia="仿宋" w:cs="仿宋"/>
          <w:sz w:val="32"/>
          <w:szCs w:val="40"/>
        </w:rPr>
      </w:pPr>
      <w:r>
        <w:rPr>
          <w:rStyle w:val="13"/>
          <w:rFonts w:hint="eastAsia" w:ascii="仿宋" w:hAnsi="仿宋" w:eastAsia="仿宋" w:cs="仿宋"/>
          <w:bCs/>
          <w:color w:val="000000" w:themeColor="text1"/>
          <w:spacing w:val="30"/>
          <w:sz w:val="32"/>
          <w:szCs w:val="32"/>
          <w:shd w:val="clear" w:color="auto" w:fill="FFFFFF"/>
          <w14:textFill>
            <w14:solidFill>
              <w14:schemeClr w14:val="tx1"/>
            </w14:solidFill>
          </w14:textFill>
        </w:rPr>
        <w:t>第十三条</w:t>
      </w:r>
      <w:r>
        <w:rPr>
          <w:rFonts w:hint="eastAsia" w:ascii="仿宋" w:hAnsi="仿宋" w:eastAsia="仿宋" w:cs="仿宋"/>
          <w:sz w:val="32"/>
          <w:szCs w:val="40"/>
        </w:rPr>
        <w:t xml:space="preserve"> 建立专业支持机制，省知识产权服务中心、省知识产权保护中心、陕西融盛知识产权平台有限公司等应发挥主干节点作用，从管理规范、数据工具、业务开展等方面，为各高校国家知识产权信息服务中心、省级知识产权信息公共服务网点提供专业支撑。</w:t>
      </w:r>
    </w:p>
    <w:p w14:paraId="44AA2293">
      <w:pPr>
        <w:numPr>
          <w:ilvl w:val="255"/>
          <w:numId w:val="0"/>
        </w:numPr>
        <w:rPr>
          <w:rFonts w:ascii="仿宋" w:hAnsi="仿宋" w:eastAsia="仿宋" w:cs="仿宋"/>
          <w:sz w:val="32"/>
          <w:szCs w:val="40"/>
        </w:rPr>
      </w:pPr>
      <w:r>
        <w:rPr>
          <w:rFonts w:hint="eastAsia" w:ascii="仿宋" w:hAnsi="仿宋" w:eastAsia="仿宋" w:cs="仿宋"/>
          <w:sz w:val="32"/>
          <w:szCs w:val="40"/>
        </w:rPr>
        <w:t xml:space="preserve">     </w:t>
      </w:r>
      <w:r>
        <w:rPr>
          <w:rStyle w:val="13"/>
          <w:rFonts w:hint="eastAsia" w:ascii="仿宋" w:hAnsi="仿宋" w:eastAsia="仿宋" w:cs="仿宋"/>
          <w:bCs/>
          <w:color w:val="000000" w:themeColor="text1"/>
          <w:spacing w:val="30"/>
          <w:sz w:val="32"/>
          <w:szCs w:val="32"/>
          <w:shd w:val="clear" w:color="auto" w:fill="FFFFFF"/>
          <w14:textFill>
            <w14:solidFill>
              <w14:schemeClr w14:val="tx1"/>
            </w14:solidFill>
          </w14:textFill>
        </w:rPr>
        <w:t xml:space="preserve">第十四条 </w:t>
      </w:r>
      <w:r>
        <w:rPr>
          <w:rFonts w:hint="eastAsia" w:ascii="仿宋" w:hAnsi="仿宋" w:eastAsia="仿宋" w:cs="仿宋"/>
          <w:sz w:val="32"/>
          <w:szCs w:val="40"/>
        </w:rPr>
        <w:t>建立服务协作机制，鼓励各服务方在开展增值性服务中，立足服务需求、整合优质资源，以服务外包等形式与其他服务方加强工作协同，提升服务质量。</w:t>
      </w:r>
    </w:p>
    <w:p w14:paraId="46B8B1E4">
      <w:pPr>
        <w:numPr>
          <w:ilvl w:val="255"/>
          <w:numId w:val="0"/>
        </w:numPr>
        <w:ind w:firstLine="763" w:firstLineChars="200"/>
        <w:rPr>
          <w:rFonts w:ascii="仿宋" w:hAnsi="仿宋" w:eastAsia="仿宋" w:cs="仿宋"/>
          <w:sz w:val="32"/>
          <w:szCs w:val="40"/>
        </w:rPr>
      </w:pPr>
      <w:r>
        <w:rPr>
          <w:rStyle w:val="13"/>
          <w:rFonts w:hint="eastAsia" w:ascii="仿宋" w:hAnsi="仿宋" w:eastAsia="仿宋" w:cs="仿宋"/>
          <w:bCs/>
          <w:color w:val="000000" w:themeColor="text1"/>
          <w:spacing w:val="30"/>
          <w:sz w:val="32"/>
          <w:szCs w:val="32"/>
          <w:shd w:val="clear" w:color="auto" w:fill="FFFFFF"/>
          <w14:textFill>
            <w14:solidFill>
              <w14:schemeClr w14:val="tx1"/>
            </w14:solidFill>
          </w14:textFill>
        </w:rPr>
        <w:t>第十五条</w:t>
      </w:r>
      <w:r>
        <w:rPr>
          <w:rFonts w:hint="eastAsia" w:ascii="仿宋" w:hAnsi="仿宋" w:eastAsia="仿宋" w:cs="仿宋"/>
          <w:sz w:val="32"/>
          <w:szCs w:val="40"/>
        </w:rPr>
        <w:t xml:space="preserve"> 建立人才合作机制，建设全省知识产权信息公共服务人才资源库，鼓励各服务方以服务合作等形式增强人才之间的沟通交流和业务锻炼，提升服务成效。</w:t>
      </w:r>
    </w:p>
    <w:p w14:paraId="11A35496">
      <w:pPr>
        <w:numPr>
          <w:ilvl w:val="255"/>
          <w:numId w:val="0"/>
        </w:numPr>
        <w:ind w:firstLine="760" w:firstLineChars="200"/>
        <w:rPr>
          <w:rStyle w:val="13"/>
          <w:rFonts w:ascii="黑体" w:hAnsi="黑体" w:eastAsia="黑体" w:cs="黑体"/>
          <w:b w:val="0"/>
          <w:color w:val="000000" w:themeColor="text1"/>
          <w:spacing w:val="30"/>
          <w:sz w:val="32"/>
          <w:szCs w:val="32"/>
          <w:shd w:val="clear" w:color="auto" w:fill="FFFFFF"/>
          <w14:textFill>
            <w14:solidFill>
              <w14:schemeClr w14:val="tx1"/>
            </w14:solidFill>
          </w14:textFill>
        </w:rPr>
      </w:pPr>
      <w:r>
        <w:rPr>
          <w:rStyle w:val="13"/>
          <w:rFonts w:hint="eastAsia" w:ascii="黑体" w:hAnsi="黑体" w:eastAsia="黑体" w:cs="黑体"/>
          <w:b w:val="0"/>
          <w:color w:val="000000" w:themeColor="text1"/>
          <w:spacing w:val="30"/>
          <w:sz w:val="32"/>
          <w:szCs w:val="32"/>
          <w:shd w:val="clear" w:color="auto" w:fill="FFFFFF"/>
          <w14:textFill>
            <w14:solidFill>
              <w14:schemeClr w14:val="tx1"/>
            </w14:solidFill>
          </w14:textFill>
        </w:rPr>
        <w:t>第六章 考核激励</w:t>
      </w:r>
    </w:p>
    <w:p w14:paraId="150C2994">
      <w:pPr>
        <w:numPr>
          <w:ilvl w:val="255"/>
          <w:numId w:val="0"/>
        </w:numPr>
        <w:ind w:firstLine="763" w:firstLineChars="200"/>
        <w:rPr>
          <w:rFonts w:ascii="仿宋" w:hAnsi="仿宋" w:eastAsia="仿宋" w:cs="仿宋"/>
          <w:sz w:val="32"/>
          <w:szCs w:val="40"/>
        </w:rPr>
      </w:pPr>
      <w:r>
        <w:rPr>
          <w:rStyle w:val="13"/>
          <w:rFonts w:hint="eastAsia" w:ascii="仿宋" w:hAnsi="仿宋" w:eastAsia="仿宋" w:cs="仿宋"/>
          <w:bCs/>
          <w:color w:val="000000" w:themeColor="text1"/>
          <w:spacing w:val="30"/>
          <w:sz w:val="32"/>
          <w:szCs w:val="32"/>
          <w:shd w:val="clear" w:color="auto" w:fill="FFFFFF"/>
          <w14:textFill>
            <w14:solidFill>
              <w14:schemeClr w14:val="tx1"/>
            </w14:solidFill>
          </w14:textFill>
        </w:rPr>
        <w:t xml:space="preserve">第十六条 </w:t>
      </w:r>
      <w:r>
        <w:rPr>
          <w:rFonts w:hint="eastAsia" w:ascii="仿宋" w:hAnsi="仿宋" w:eastAsia="仿宋" w:cs="仿宋"/>
          <w:sz w:val="32"/>
          <w:szCs w:val="40"/>
        </w:rPr>
        <w:t>各服务方线下承接的服务需求原则上应推荐需求方经公共服务对接系统申请服务，公共服务对接系统将对各服务方的服务开展情况进行统计。</w:t>
      </w:r>
    </w:p>
    <w:p w14:paraId="1F2D75D0">
      <w:pPr>
        <w:numPr>
          <w:ilvl w:val="255"/>
          <w:numId w:val="0"/>
        </w:numPr>
        <w:ind w:firstLine="763" w:firstLineChars="200"/>
        <w:rPr>
          <w:rFonts w:ascii="仿宋" w:hAnsi="仿宋" w:eastAsia="仿宋" w:cs="仿宋"/>
          <w:sz w:val="32"/>
          <w:szCs w:val="40"/>
        </w:rPr>
      </w:pPr>
      <w:r>
        <w:rPr>
          <w:rStyle w:val="13"/>
          <w:rFonts w:hint="eastAsia" w:ascii="仿宋" w:hAnsi="仿宋" w:eastAsia="仿宋" w:cs="仿宋"/>
          <w:bCs/>
          <w:color w:val="000000" w:themeColor="text1"/>
          <w:spacing w:val="30"/>
          <w:sz w:val="32"/>
          <w:szCs w:val="32"/>
          <w:shd w:val="clear" w:color="auto" w:fill="FFFFFF"/>
          <w14:textFill>
            <w14:solidFill>
              <w14:schemeClr w14:val="tx1"/>
            </w14:solidFill>
          </w14:textFill>
        </w:rPr>
        <w:t xml:space="preserve">第十七条 </w:t>
      </w:r>
      <w:r>
        <w:rPr>
          <w:rFonts w:hint="eastAsia" w:ascii="仿宋" w:hAnsi="仿宋" w:eastAsia="仿宋" w:cs="仿宋"/>
          <w:sz w:val="32"/>
          <w:szCs w:val="40"/>
        </w:rPr>
        <w:t>各服务方的服务开展完成情况将作为分级考核评价的重要参考依据。</w:t>
      </w:r>
    </w:p>
    <w:p w14:paraId="0A79A578">
      <w:pPr>
        <w:numPr>
          <w:ilvl w:val="255"/>
          <w:numId w:val="0"/>
        </w:numPr>
        <w:ind w:firstLine="760" w:firstLineChars="200"/>
        <w:rPr>
          <w:rStyle w:val="13"/>
          <w:rFonts w:ascii="黑体" w:hAnsi="黑体" w:eastAsia="黑体" w:cs="黑体"/>
          <w:b w:val="0"/>
          <w:color w:val="000000" w:themeColor="text1"/>
          <w:spacing w:val="30"/>
          <w:sz w:val="32"/>
          <w:szCs w:val="32"/>
          <w:shd w:val="clear" w:color="auto" w:fill="FFFFFF"/>
          <w14:textFill>
            <w14:solidFill>
              <w14:schemeClr w14:val="tx1"/>
            </w14:solidFill>
          </w14:textFill>
        </w:rPr>
      </w:pPr>
      <w:r>
        <w:rPr>
          <w:rStyle w:val="13"/>
          <w:rFonts w:hint="eastAsia" w:ascii="黑体" w:hAnsi="黑体" w:eastAsia="黑体" w:cs="黑体"/>
          <w:b w:val="0"/>
          <w:color w:val="000000" w:themeColor="text1"/>
          <w:spacing w:val="30"/>
          <w:sz w:val="32"/>
          <w:szCs w:val="32"/>
          <w:shd w:val="clear" w:color="auto" w:fill="FFFFFF"/>
          <w14:textFill>
            <w14:solidFill>
              <w14:schemeClr w14:val="tx1"/>
            </w14:solidFill>
          </w14:textFill>
        </w:rPr>
        <w:t>第七章　附　则</w:t>
      </w:r>
    </w:p>
    <w:p w14:paraId="64E6DCB2">
      <w:pPr>
        <w:pStyle w:val="9"/>
        <w:widowControl/>
        <w:shd w:val="clear" w:color="auto" w:fill="FFFFFF"/>
        <w:spacing w:beforeAutospacing="0" w:afterAutospacing="0" w:line="30" w:lineRule="atLeast"/>
        <w:ind w:firstLine="763" w:firstLineChars="200"/>
        <w:jc w:val="both"/>
        <w:textAlignment w:val="baseline"/>
        <w:rPr>
          <w:rFonts w:ascii="仿宋" w:hAnsi="仿宋" w:eastAsia="仿宋" w:cs="仿宋"/>
          <w:kern w:val="2"/>
          <w:sz w:val="32"/>
          <w:szCs w:val="40"/>
          <w:lang w:bidi="ar-SA"/>
        </w:rPr>
      </w:pPr>
      <w:r>
        <w:rPr>
          <w:rStyle w:val="13"/>
          <w:rFonts w:hint="eastAsia" w:ascii="仿宋" w:hAnsi="仿宋" w:eastAsia="仿宋" w:cs="仿宋"/>
          <w:bCs/>
          <w:color w:val="000000" w:themeColor="text1"/>
          <w:spacing w:val="30"/>
          <w:kern w:val="2"/>
          <w:sz w:val="32"/>
          <w:szCs w:val="32"/>
          <w:shd w:val="clear" w:color="auto" w:fill="FFFFFF"/>
          <w:lang w:bidi="ar-SA"/>
          <w14:textFill>
            <w14:solidFill>
              <w14:schemeClr w14:val="tx1"/>
            </w14:solidFill>
          </w14:textFill>
        </w:rPr>
        <w:t>第十八条</w:t>
      </w:r>
      <w:r>
        <w:rPr>
          <w:rFonts w:hint="eastAsia" w:ascii="仿宋" w:hAnsi="仿宋" w:eastAsia="仿宋" w:cs="仿宋"/>
          <w:kern w:val="2"/>
          <w:sz w:val="32"/>
          <w:szCs w:val="40"/>
          <w:lang w:bidi="ar-SA"/>
        </w:rPr>
        <w:t>本</w:t>
      </w:r>
      <w:r>
        <w:rPr>
          <w:rFonts w:hint="default" w:ascii="仿宋" w:hAnsi="仿宋" w:eastAsia="仿宋" w:cs="仿宋"/>
          <w:kern w:val="2"/>
          <w:sz w:val="32"/>
          <w:szCs w:val="40"/>
          <w:lang w:bidi="ar-SA"/>
        </w:rPr>
        <w:t>指南</w:t>
      </w:r>
      <w:r>
        <w:rPr>
          <w:rFonts w:hint="eastAsia" w:ascii="仿宋" w:hAnsi="仿宋" w:eastAsia="仿宋" w:cs="仿宋"/>
          <w:kern w:val="2"/>
          <w:sz w:val="32"/>
          <w:szCs w:val="40"/>
          <w:lang w:bidi="ar-SA"/>
        </w:rPr>
        <w:t>由陕西省知识产权局负责解释。</w:t>
      </w:r>
    </w:p>
    <w:p w14:paraId="44505774">
      <w:pPr>
        <w:pStyle w:val="9"/>
        <w:widowControl/>
        <w:shd w:val="clear" w:color="auto" w:fill="FFFFFF"/>
        <w:spacing w:beforeAutospacing="0" w:afterAutospacing="0" w:line="30" w:lineRule="atLeast"/>
        <w:ind w:firstLine="763" w:firstLineChars="200"/>
        <w:jc w:val="both"/>
        <w:textAlignment w:val="baseline"/>
        <w:rPr>
          <w:rFonts w:ascii="仿宋" w:hAnsi="仿宋" w:eastAsia="仿宋" w:cs="仿宋"/>
          <w:kern w:val="2"/>
          <w:sz w:val="32"/>
          <w:szCs w:val="40"/>
          <w:lang w:bidi="ar-SA"/>
        </w:rPr>
      </w:pPr>
      <w:r>
        <w:rPr>
          <w:rStyle w:val="13"/>
          <w:rFonts w:hint="eastAsia" w:ascii="仿宋" w:hAnsi="仿宋" w:eastAsia="仿宋" w:cs="仿宋"/>
          <w:bCs/>
          <w:color w:val="000000" w:themeColor="text1"/>
          <w:spacing w:val="30"/>
          <w:kern w:val="2"/>
          <w:sz w:val="32"/>
          <w:szCs w:val="32"/>
          <w:shd w:val="clear" w:color="auto" w:fill="FFFFFF"/>
          <w:lang w:bidi="ar-SA"/>
          <w14:textFill>
            <w14:solidFill>
              <w14:schemeClr w14:val="tx1"/>
            </w14:solidFill>
          </w14:textFill>
        </w:rPr>
        <w:t>第十九条</w:t>
      </w:r>
      <w:r>
        <w:rPr>
          <w:rFonts w:hint="eastAsia" w:ascii="仿宋" w:hAnsi="仿宋" w:eastAsia="仿宋" w:cs="仿宋"/>
          <w:kern w:val="2"/>
          <w:sz w:val="32"/>
          <w:szCs w:val="40"/>
          <w:lang w:bidi="ar-SA"/>
        </w:rPr>
        <w:t>本</w:t>
      </w:r>
      <w:r>
        <w:rPr>
          <w:rFonts w:hint="default" w:ascii="仿宋" w:hAnsi="仿宋" w:eastAsia="仿宋" w:cs="仿宋"/>
          <w:kern w:val="2"/>
          <w:sz w:val="32"/>
          <w:szCs w:val="40"/>
          <w:lang w:bidi="ar-SA"/>
        </w:rPr>
        <w:t>指南</w:t>
      </w:r>
      <w:r>
        <w:rPr>
          <w:rFonts w:hint="eastAsia" w:ascii="仿宋" w:hAnsi="仿宋" w:eastAsia="仿宋" w:cs="仿宋"/>
          <w:kern w:val="2"/>
          <w:sz w:val="32"/>
          <w:szCs w:val="40"/>
          <w:lang w:bidi="ar-SA"/>
        </w:rPr>
        <w:t>自公布之日起施行。</w:t>
      </w:r>
    </w:p>
    <w:p w14:paraId="4D24BD0B">
      <w:pPr>
        <w:pStyle w:val="9"/>
        <w:widowControl/>
        <w:shd w:val="clear" w:color="auto" w:fill="FFFFFF"/>
        <w:spacing w:beforeAutospacing="0" w:afterAutospacing="0" w:line="30" w:lineRule="atLeast"/>
        <w:ind w:firstLine="640" w:firstLineChars="200"/>
        <w:jc w:val="both"/>
        <w:textAlignment w:val="baseline"/>
        <w:rPr>
          <w:rFonts w:ascii="仿宋" w:hAnsi="仿宋" w:eastAsia="仿宋" w:cs="仿宋"/>
          <w:kern w:val="2"/>
          <w:sz w:val="32"/>
          <w:szCs w:val="40"/>
          <w:lang w:bidi="ar-SA"/>
        </w:rPr>
      </w:pPr>
    </w:p>
    <w:p w14:paraId="7BF3A58A">
      <w:pPr>
        <w:pStyle w:val="9"/>
        <w:widowControl/>
        <w:shd w:val="clear" w:color="auto" w:fill="FFFFFF"/>
        <w:spacing w:beforeAutospacing="0" w:afterAutospacing="0" w:line="30" w:lineRule="atLeast"/>
        <w:ind w:firstLine="640" w:firstLineChars="200"/>
        <w:jc w:val="both"/>
        <w:textAlignment w:val="baseline"/>
        <w:rPr>
          <w:rFonts w:ascii="仿宋" w:hAnsi="仿宋" w:eastAsia="仿宋" w:cs="仿宋"/>
          <w:kern w:val="2"/>
          <w:sz w:val="32"/>
          <w:szCs w:val="40"/>
          <w:lang w:bidi="ar-SA"/>
        </w:rPr>
      </w:pPr>
    </w:p>
    <w:p w14:paraId="65AC6AF5">
      <w:pPr>
        <w:pStyle w:val="9"/>
        <w:widowControl/>
        <w:shd w:val="clear" w:color="auto" w:fill="FFFFFF"/>
        <w:spacing w:beforeAutospacing="0" w:afterAutospacing="0" w:line="30" w:lineRule="atLeast"/>
        <w:ind w:firstLine="640" w:firstLineChars="200"/>
        <w:jc w:val="both"/>
        <w:textAlignment w:val="baseline"/>
        <w:rPr>
          <w:rFonts w:ascii="仿宋" w:hAnsi="仿宋" w:eastAsia="仿宋" w:cs="仿宋"/>
          <w:kern w:val="2"/>
          <w:sz w:val="32"/>
          <w:szCs w:val="40"/>
          <w:lang w:bidi="ar-SA"/>
        </w:rPr>
      </w:pPr>
    </w:p>
    <w:p w14:paraId="4BA86E38">
      <w:pPr>
        <w:pStyle w:val="9"/>
        <w:widowControl/>
        <w:shd w:val="clear" w:color="auto" w:fill="FFFFFF"/>
        <w:spacing w:beforeAutospacing="0" w:afterAutospacing="0" w:line="30" w:lineRule="atLeast"/>
        <w:ind w:firstLine="640" w:firstLineChars="200"/>
        <w:jc w:val="both"/>
        <w:textAlignment w:val="baseline"/>
        <w:rPr>
          <w:rFonts w:ascii="仿宋" w:hAnsi="仿宋" w:eastAsia="仿宋" w:cs="仿宋"/>
          <w:kern w:val="2"/>
          <w:sz w:val="32"/>
          <w:szCs w:val="40"/>
          <w:lang w:bidi="ar-SA"/>
        </w:rPr>
      </w:pPr>
    </w:p>
    <w:p w14:paraId="16E86BF1">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黑体" w:hAnsi="黑体" w:eastAsia="黑体" w:cs="黑体"/>
          <w:sz w:val="32"/>
          <w:szCs w:val="32"/>
          <w:lang w:val="en-US" w:eastAsia="zh-CN"/>
        </w:rPr>
      </w:pPr>
    </w:p>
    <w:p w14:paraId="14FE8D93">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黑体" w:hAnsi="黑体" w:eastAsia="黑体" w:cs="黑体"/>
          <w:sz w:val="32"/>
          <w:szCs w:val="32"/>
          <w:lang w:val="en-US" w:eastAsia="zh-CN"/>
        </w:rPr>
      </w:pPr>
    </w:p>
    <w:p w14:paraId="140E5562">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黑体" w:hAnsi="黑体" w:eastAsia="黑体" w:cs="黑体"/>
          <w:sz w:val="32"/>
          <w:szCs w:val="32"/>
          <w:lang w:val="en-US" w:eastAsia="zh-CN"/>
        </w:rPr>
      </w:pPr>
    </w:p>
    <w:p w14:paraId="6776C9F6">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黑体" w:hAnsi="黑体" w:eastAsia="黑体" w:cs="黑体"/>
          <w:sz w:val="32"/>
          <w:szCs w:val="32"/>
          <w:lang w:val="en-US" w:eastAsia="zh-CN"/>
        </w:rPr>
      </w:pPr>
    </w:p>
    <w:p w14:paraId="5EFBE4D3">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黑体" w:hAnsi="黑体" w:eastAsia="黑体" w:cs="黑体"/>
          <w:sz w:val="32"/>
          <w:szCs w:val="32"/>
          <w:lang w:val="en-US" w:eastAsia="zh-CN"/>
        </w:rPr>
      </w:pPr>
    </w:p>
    <w:p w14:paraId="59105330">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黑体" w:hAnsi="黑体" w:eastAsia="黑体" w:cs="黑体"/>
          <w:sz w:val="32"/>
          <w:szCs w:val="32"/>
          <w:lang w:val="en-US" w:eastAsia="zh-CN"/>
        </w:rPr>
      </w:pPr>
    </w:p>
    <w:p w14:paraId="17AF1B4A">
      <w:pPr>
        <w:tabs>
          <w:tab w:val="left" w:pos="8789"/>
        </w:tabs>
        <w:spacing w:line="560" w:lineRule="exact"/>
        <w:ind w:right="-87" w:firstLine="0" w:firstLineChars="0"/>
        <w:jc w:val="left"/>
        <w:rPr>
          <w:rFonts w:hint="default" w:ascii="仿宋_GB2312" w:hAnsi="仿宋_GB2312" w:eastAsia="仿宋_GB2312" w:cs="仿宋_GB2312"/>
          <w:sz w:val="32"/>
          <w:szCs w:val="32"/>
          <w:lang w:val="en-US" w:eastAsia="zh-CN"/>
        </w:rPr>
      </w:pPr>
      <w:bookmarkStart w:id="0" w:name="_GoBack"/>
      <w:bookmarkEnd w:id="0"/>
    </w:p>
    <w:sectPr>
      <w:footerReference r:id="rId3" w:type="default"/>
      <w:pgSz w:w="11906" w:h="16838"/>
      <w:pgMar w:top="1587" w:right="1474" w:bottom="1474" w:left="1587"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32BF4">
    <w:pPr>
      <w:pStyle w:val="6"/>
      <w:tabs>
        <w:tab w:val="left" w:pos="3767"/>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EAA007">
                          <w:pPr>
                            <w:pStyle w:val="6"/>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 xml:space="preserve">— </w:t>
                          </w:r>
                          <w:r>
                            <w:rPr>
                              <w:rFonts w:hint="eastAsia" w:ascii="仿宋_GB2312" w:hAnsi="仿宋_GB2312" w:eastAsia="仿宋_GB2312" w:cs="仿宋_GB2312"/>
                              <w:sz w:val="24"/>
                              <w:lang w:eastAsia="zh-CN"/>
                            </w:rPr>
                            <w:fldChar w:fldCharType="begin"/>
                          </w:r>
                          <w:r>
                            <w:rPr>
                              <w:rFonts w:hint="eastAsia" w:ascii="仿宋_GB2312" w:hAnsi="仿宋_GB2312" w:eastAsia="仿宋_GB2312" w:cs="仿宋_GB2312"/>
                              <w:sz w:val="24"/>
                              <w:lang w:eastAsia="zh-CN"/>
                            </w:rPr>
                            <w:instrText xml:space="preserve"> PAGE  \* MERGEFORMAT </w:instrText>
                          </w:r>
                          <w:r>
                            <w:rPr>
                              <w:rFonts w:hint="eastAsia" w:ascii="仿宋_GB2312" w:hAnsi="仿宋_GB2312" w:eastAsia="仿宋_GB2312" w:cs="仿宋_GB2312"/>
                              <w:sz w:val="24"/>
                              <w:lang w:eastAsia="zh-CN"/>
                            </w:rPr>
                            <w:fldChar w:fldCharType="separate"/>
                          </w:r>
                          <w:r>
                            <w:rPr>
                              <w:rFonts w:hint="eastAsia" w:ascii="仿宋_GB2312" w:hAnsi="仿宋_GB2312" w:eastAsia="仿宋_GB2312" w:cs="仿宋_GB2312"/>
                              <w:sz w:val="24"/>
                              <w:lang w:eastAsia="zh-CN"/>
                            </w:rPr>
                            <w:t>1</w:t>
                          </w:r>
                          <w:r>
                            <w:rPr>
                              <w:rFonts w:hint="eastAsia" w:ascii="仿宋_GB2312" w:hAnsi="仿宋_GB2312" w:eastAsia="仿宋_GB2312" w:cs="仿宋_GB2312"/>
                              <w:sz w:val="24"/>
                              <w:lang w:eastAsia="zh-CN"/>
                            </w:rPr>
                            <w:fldChar w:fldCharType="end"/>
                          </w:r>
                          <w:r>
                            <w:rPr>
                              <w:rFonts w:hint="eastAsia" w:ascii="仿宋_GB2312" w:hAnsi="仿宋_GB2312" w:eastAsia="仿宋_GB2312" w:cs="仿宋_GB2312"/>
                              <w:sz w:val="2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0EAA007">
                    <w:pPr>
                      <w:pStyle w:val="6"/>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 xml:space="preserve">— </w:t>
                    </w:r>
                    <w:r>
                      <w:rPr>
                        <w:rFonts w:hint="eastAsia" w:ascii="仿宋_GB2312" w:hAnsi="仿宋_GB2312" w:eastAsia="仿宋_GB2312" w:cs="仿宋_GB2312"/>
                        <w:sz w:val="24"/>
                        <w:lang w:eastAsia="zh-CN"/>
                      </w:rPr>
                      <w:fldChar w:fldCharType="begin"/>
                    </w:r>
                    <w:r>
                      <w:rPr>
                        <w:rFonts w:hint="eastAsia" w:ascii="仿宋_GB2312" w:hAnsi="仿宋_GB2312" w:eastAsia="仿宋_GB2312" w:cs="仿宋_GB2312"/>
                        <w:sz w:val="24"/>
                        <w:lang w:eastAsia="zh-CN"/>
                      </w:rPr>
                      <w:instrText xml:space="preserve"> PAGE  \* MERGEFORMAT </w:instrText>
                    </w:r>
                    <w:r>
                      <w:rPr>
                        <w:rFonts w:hint="eastAsia" w:ascii="仿宋_GB2312" w:hAnsi="仿宋_GB2312" w:eastAsia="仿宋_GB2312" w:cs="仿宋_GB2312"/>
                        <w:sz w:val="24"/>
                        <w:lang w:eastAsia="zh-CN"/>
                      </w:rPr>
                      <w:fldChar w:fldCharType="separate"/>
                    </w:r>
                    <w:r>
                      <w:rPr>
                        <w:rFonts w:hint="eastAsia" w:ascii="仿宋_GB2312" w:hAnsi="仿宋_GB2312" w:eastAsia="仿宋_GB2312" w:cs="仿宋_GB2312"/>
                        <w:sz w:val="24"/>
                        <w:lang w:eastAsia="zh-CN"/>
                      </w:rPr>
                      <w:t>1</w:t>
                    </w:r>
                    <w:r>
                      <w:rPr>
                        <w:rFonts w:hint="eastAsia" w:ascii="仿宋_GB2312" w:hAnsi="仿宋_GB2312" w:eastAsia="仿宋_GB2312" w:cs="仿宋_GB2312"/>
                        <w:sz w:val="24"/>
                        <w:lang w:eastAsia="zh-CN"/>
                      </w:rPr>
                      <w:fldChar w:fldCharType="end"/>
                    </w:r>
                    <w:r>
                      <w:rPr>
                        <w:rFonts w:hint="eastAsia" w:ascii="仿宋_GB2312" w:hAnsi="仿宋_GB2312" w:eastAsia="仿宋_GB2312" w:cs="仿宋_GB2312"/>
                        <w:sz w:val="24"/>
                        <w:lang w:eastAsia="zh-CN"/>
                      </w:rPr>
                      <w:t xml:space="preserve"> —</w:t>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F44504"/>
    <w:rsid w:val="005C655C"/>
    <w:rsid w:val="015F63B5"/>
    <w:rsid w:val="0243175C"/>
    <w:rsid w:val="0370439C"/>
    <w:rsid w:val="041D0DCE"/>
    <w:rsid w:val="04775D6F"/>
    <w:rsid w:val="049C4EB4"/>
    <w:rsid w:val="068E5516"/>
    <w:rsid w:val="06A32201"/>
    <w:rsid w:val="06EF14F9"/>
    <w:rsid w:val="08163CF0"/>
    <w:rsid w:val="094A591E"/>
    <w:rsid w:val="09D646AA"/>
    <w:rsid w:val="0D7D29FB"/>
    <w:rsid w:val="114F191B"/>
    <w:rsid w:val="116B3CB3"/>
    <w:rsid w:val="137F0074"/>
    <w:rsid w:val="138674FA"/>
    <w:rsid w:val="141D7FFF"/>
    <w:rsid w:val="14B63755"/>
    <w:rsid w:val="14C17356"/>
    <w:rsid w:val="17FA4B1A"/>
    <w:rsid w:val="1A7A2DC7"/>
    <w:rsid w:val="1B17325D"/>
    <w:rsid w:val="1BE57A82"/>
    <w:rsid w:val="1C9206B6"/>
    <w:rsid w:val="1CBC6483"/>
    <w:rsid w:val="1DBD1A51"/>
    <w:rsid w:val="1E1E50D1"/>
    <w:rsid w:val="1E5610D8"/>
    <w:rsid w:val="1F355984"/>
    <w:rsid w:val="206F7155"/>
    <w:rsid w:val="21533395"/>
    <w:rsid w:val="21687A62"/>
    <w:rsid w:val="219E27A9"/>
    <w:rsid w:val="2311615F"/>
    <w:rsid w:val="236D272F"/>
    <w:rsid w:val="241750CC"/>
    <w:rsid w:val="24E44CF0"/>
    <w:rsid w:val="25CC56AD"/>
    <w:rsid w:val="262117D3"/>
    <w:rsid w:val="26524436"/>
    <w:rsid w:val="26C7491A"/>
    <w:rsid w:val="26CF08C4"/>
    <w:rsid w:val="27E30BCC"/>
    <w:rsid w:val="28211B29"/>
    <w:rsid w:val="285F621E"/>
    <w:rsid w:val="28F90E4F"/>
    <w:rsid w:val="2A69271F"/>
    <w:rsid w:val="2A7F150D"/>
    <w:rsid w:val="2EFF3C2F"/>
    <w:rsid w:val="2F4C7702"/>
    <w:rsid w:val="2FFC1C98"/>
    <w:rsid w:val="32465BC3"/>
    <w:rsid w:val="32712A06"/>
    <w:rsid w:val="3449059E"/>
    <w:rsid w:val="356F5937"/>
    <w:rsid w:val="35B407A7"/>
    <w:rsid w:val="36284D68"/>
    <w:rsid w:val="36466D54"/>
    <w:rsid w:val="36FA263F"/>
    <w:rsid w:val="37650BB3"/>
    <w:rsid w:val="387E590D"/>
    <w:rsid w:val="38DA7F52"/>
    <w:rsid w:val="398F6C48"/>
    <w:rsid w:val="3A2E7E07"/>
    <w:rsid w:val="3A6838BD"/>
    <w:rsid w:val="3B082B60"/>
    <w:rsid w:val="3BCC0AA9"/>
    <w:rsid w:val="3BD735AD"/>
    <w:rsid w:val="3DB4281F"/>
    <w:rsid w:val="3DC4556E"/>
    <w:rsid w:val="3E4D445A"/>
    <w:rsid w:val="3F2324EE"/>
    <w:rsid w:val="3F4B5605"/>
    <w:rsid w:val="3F8806A9"/>
    <w:rsid w:val="3FC126CA"/>
    <w:rsid w:val="40021966"/>
    <w:rsid w:val="40386D46"/>
    <w:rsid w:val="4052434C"/>
    <w:rsid w:val="40862082"/>
    <w:rsid w:val="415B5879"/>
    <w:rsid w:val="417D3D8C"/>
    <w:rsid w:val="42076D2A"/>
    <w:rsid w:val="429219FE"/>
    <w:rsid w:val="42E27F87"/>
    <w:rsid w:val="43887640"/>
    <w:rsid w:val="440351F1"/>
    <w:rsid w:val="44211FAB"/>
    <w:rsid w:val="45727B2F"/>
    <w:rsid w:val="46ED33C3"/>
    <w:rsid w:val="473811EB"/>
    <w:rsid w:val="48A6255D"/>
    <w:rsid w:val="49D00819"/>
    <w:rsid w:val="49FE73BE"/>
    <w:rsid w:val="4A2E2019"/>
    <w:rsid w:val="4AEF3D50"/>
    <w:rsid w:val="4B8C04CB"/>
    <w:rsid w:val="4C223B3E"/>
    <w:rsid w:val="4F2316BF"/>
    <w:rsid w:val="4F407DF6"/>
    <w:rsid w:val="4F547155"/>
    <w:rsid w:val="50243F14"/>
    <w:rsid w:val="517E5B24"/>
    <w:rsid w:val="51C41E60"/>
    <w:rsid w:val="51C910C1"/>
    <w:rsid w:val="51D17893"/>
    <w:rsid w:val="524B3256"/>
    <w:rsid w:val="52993D83"/>
    <w:rsid w:val="52CE6DAB"/>
    <w:rsid w:val="532C0C01"/>
    <w:rsid w:val="53612CF8"/>
    <w:rsid w:val="53D8410F"/>
    <w:rsid w:val="54892309"/>
    <w:rsid w:val="55F243F8"/>
    <w:rsid w:val="56200364"/>
    <w:rsid w:val="56CB4885"/>
    <w:rsid w:val="57776800"/>
    <w:rsid w:val="58085B76"/>
    <w:rsid w:val="5A556CCF"/>
    <w:rsid w:val="5A82797C"/>
    <w:rsid w:val="5A932A31"/>
    <w:rsid w:val="5C7F4570"/>
    <w:rsid w:val="5D870AE6"/>
    <w:rsid w:val="5FC349A6"/>
    <w:rsid w:val="6122016C"/>
    <w:rsid w:val="61515211"/>
    <w:rsid w:val="61CF3538"/>
    <w:rsid w:val="61ED2928"/>
    <w:rsid w:val="61FF7824"/>
    <w:rsid w:val="622643AE"/>
    <w:rsid w:val="628607A9"/>
    <w:rsid w:val="642A3108"/>
    <w:rsid w:val="649130EC"/>
    <w:rsid w:val="64A72A48"/>
    <w:rsid w:val="653E07AF"/>
    <w:rsid w:val="67453D59"/>
    <w:rsid w:val="67952FC4"/>
    <w:rsid w:val="685C7A49"/>
    <w:rsid w:val="68C7586D"/>
    <w:rsid w:val="69F906F6"/>
    <w:rsid w:val="6BF44504"/>
    <w:rsid w:val="6CE14736"/>
    <w:rsid w:val="6D0920A8"/>
    <w:rsid w:val="6E030873"/>
    <w:rsid w:val="701E0965"/>
    <w:rsid w:val="70C35C59"/>
    <w:rsid w:val="7122262E"/>
    <w:rsid w:val="71D91BAC"/>
    <w:rsid w:val="72402BF7"/>
    <w:rsid w:val="729A7B77"/>
    <w:rsid w:val="732F03BD"/>
    <w:rsid w:val="73FB6252"/>
    <w:rsid w:val="742A04C9"/>
    <w:rsid w:val="7457015A"/>
    <w:rsid w:val="74E41F3C"/>
    <w:rsid w:val="755305F0"/>
    <w:rsid w:val="75714030"/>
    <w:rsid w:val="76C61752"/>
    <w:rsid w:val="786B28D6"/>
    <w:rsid w:val="78886233"/>
    <w:rsid w:val="78D618C0"/>
    <w:rsid w:val="79AE5B32"/>
    <w:rsid w:val="7AC16814"/>
    <w:rsid w:val="7B437495"/>
    <w:rsid w:val="7C76EF0E"/>
    <w:rsid w:val="7C7C5ADD"/>
    <w:rsid w:val="7D925E2E"/>
    <w:rsid w:val="7E4236B6"/>
    <w:rsid w:val="7EDD4CED"/>
    <w:rsid w:val="7FA048BB"/>
    <w:rsid w:val="7FF605DE"/>
    <w:rsid w:val="DCFE64A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hAnsi="Arial" w:eastAsia="楷体_GB2312" w:cs="Times New Roman"/>
      <w:sz w:val="28"/>
      <w:szCs w:val="20"/>
    </w:rPr>
  </w:style>
  <w:style w:type="paragraph" w:styleId="4">
    <w:name w:val="Normal Indent"/>
    <w:basedOn w:val="1"/>
    <w:next w:val="5"/>
    <w:qFormat/>
    <w:uiPriority w:val="0"/>
    <w:pPr>
      <w:ind w:firstLine="200" w:firstLineChars="200"/>
    </w:pPr>
    <w:rPr>
      <w:rFonts w:eastAsia="楷体_GB2312"/>
    </w:rPr>
  </w:style>
  <w:style w:type="paragraph" w:styleId="5">
    <w:name w:val="index 5"/>
    <w:basedOn w:val="1"/>
    <w:next w:val="1"/>
    <w:qFormat/>
    <w:uiPriority w:val="0"/>
    <w:pPr>
      <w:ind w:left="168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2"/>
    <w:basedOn w:val="1"/>
    <w:qFormat/>
    <w:uiPriority w:val="0"/>
    <w:pPr>
      <w:spacing w:after="120" w:line="480" w:lineRule="auto"/>
    </w:pPr>
    <w:rPr>
      <w:rFonts w:ascii="Calibri" w:hAnsi="Calibri"/>
      <w:szCs w:val="22"/>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Emphasis"/>
    <w:basedOn w:val="12"/>
    <w:qFormat/>
    <w:uiPriority w:val="0"/>
    <w:rPr>
      <w:i/>
    </w:rPr>
  </w:style>
  <w:style w:type="character" w:styleId="15">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2295</Words>
  <Characters>2412</Characters>
  <Lines>0</Lines>
  <Paragraphs>0</Paragraphs>
  <TotalTime>1</TotalTime>
  <ScaleCrop>false</ScaleCrop>
  <LinksUpToDate>false</LinksUpToDate>
  <CharactersWithSpaces>2482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2025-04-27T19:20:00Z</dcterms:created>
  <dc:creator>艾娜</dc:creator>
  <cp:lastModifiedBy>TY</cp:lastModifiedBy>
  <cp:lastPrinted>2025-05-13T23:01:00Z</cp:lastPrinted>
  <dcterms:modified xsi:type="dcterms:W3CDTF">2025-06-17T02:28:35Z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eyJoZGlkIjoiYzM5MThlYjI5MGIxYjBhYjkwZDQ2MThmNDAxNjNhMWMifQ==</vt:lpwstr>
  </property>
  <property fmtid="{D5CDD505-2E9C-101B-9397-08002B2CF9AE}" pid="4" name="ICV">
    <vt:lpwstr>49A36B1D6F5F8F69FB0138685A04CBFD_43</vt:lpwstr>
  </property>
</Properties>
</file>